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8124" w14:textId="3BD49313" w:rsidR="00182BC4" w:rsidRPr="00841BCD" w:rsidRDefault="00182BC4" w:rsidP="00182B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w:t>
      </w:r>
      <w:r w:rsidR="003534A3">
        <w:rPr>
          <w:rFonts w:ascii="Arial" w:eastAsia="SimSun" w:hAnsi="Arial" w:cs="Times New Roman"/>
          <w:b/>
          <w:sz w:val="24"/>
          <w:szCs w:val="20"/>
          <w:lang w:val="en-GB"/>
        </w:rPr>
        <w:t>9</w:t>
      </w:r>
      <w:r w:rsidR="002E41C3">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82F2F" w:rsidRPr="00C82F2F">
        <w:rPr>
          <w:rFonts w:ascii="Arial" w:eastAsia="SimSun" w:hAnsi="Arial" w:cs="Times New Roman"/>
          <w:b/>
          <w:bCs/>
          <w:sz w:val="24"/>
          <w:szCs w:val="20"/>
          <w:lang w:val="en-GB" w:eastAsia="ja-JP"/>
        </w:rPr>
        <w:t>R4-1906241</w:t>
      </w:r>
    </w:p>
    <w:p w14:paraId="18AC2429" w14:textId="25348DFD" w:rsidR="00182BC4" w:rsidRPr="00841BCD" w:rsidRDefault="002E41C3" w:rsidP="00182B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 United States</w:t>
      </w:r>
      <w:r w:rsidR="003534A3">
        <w:rPr>
          <w:rFonts w:ascii="Arial" w:eastAsia="SimSun" w:hAnsi="Arial" w:cs="Times New Roman"/>
          <w:b/>
          <w:sz w:val="24"/>
          <w:szCs w:val="20"/>
          <w:lang w:val="en-GB"/>
        </w:rPr>
        <w:t xml:space="preserve">, </w:t>
      </w:r>
      <w:r>
        <w:rPr>
          <w:rFonts w:ascii="Arial" w:eastAsia="SimSun" w:hAnsi="Arial" w:cs="Times New Roman"/>
          <w:b/>
          <w:sz w:val="24"/>
          <w:szCs w:val="20"/>
          <w:lang w:val="en-GB"/>
        </w:rPr>
        <w:t>13 – 17 May</w:t>
      </w:r>
      <w:r w:rsidR="00182BC4">
        <w:rPr>
          <w:rFonts w:ascii="Arial" w:eastAsia="SimSun" w:hAnsi="Arial" w:cs="Times New Roman"/>
          <w:b/>
          <w:sz w:val="24"/>
          <w:szCs w:val="20"/>
          <w:lang w:val="en-GB"/>
        </w:rPr>
        <w:t xml:space="preserve"> 2019</w:t>
      </w:r>
    </w:p>
    <w:bookmarkEnd w:id="0"/>
    <w:bookmarkEnd w:id="1"/>
    <w:p w14:paraId="1EF409D2" w14:textId="77777777" w:rsidR="00182BC4" w:rsidRPr="00841BCD" w:rsidRDefault="00182BC4" w:rsidP="00182BC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329775D" w14:textId="77777777" w:rsidR="00182BC4" w:rsidRPr="00841BCD" w:rsidRDefault="00182BC4" w:rsidP="00182BC4">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8D4D57F" w14:textId="632EA033" w:rsidR="00182BC4" w:rsidRPr="00841BCD" w:rsidRDefault="00182BC4" w:rsidP="00182BC4">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82F2F" w:rsidRPr="00C82F2F">
        <w:rPr>
          <w:rFonts w:ascii="Arial" w:eastAsia="Calibri" w:hAnsi="Arial" w:cs="Arial"/>
          <w:b/>
          <w:bCs/>
          <w:sz w:val="24"/>
          <w:lang w:val="en-GB"/>
        </w:rPr>
        <w:t>On RRC-based BWP switch requirements</w:t>
      </w:r>
    </w:p>
    <w:p w14:paraId="580F3124" w14:textId="34F17B62" w:rsidR="00182BC4" w:rsidRPr="00841BCD" w:rsidRDefault="00182BC4" w:rsidP="00182BC4">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82F2F" w:rsidRPr="00C82F2F">
        <w:rPr>
          <w:rFonts w:ascii="Arial" w:eastAsia="MS Mincho" w:hAnsi="Arial" w:cs="Arial"/>
          <w:b/>
          <w:bCs/>
          <w:sz w:val="24"/>
          <w:szCs w:val="20"/>
          <w:lang w:val="en-GB"/>
        </w:rPr>
        <w:t>6.10.7.5</w:t>
      </w:r>
    </w:p>
    <w:p w14:paraId="59DD2145" w14:textId="77777777" w:rsidR="00182BC4" w:rsidRPr="00841BCD" w:rsidRDefault="00182BC4" w:rsidP="00182BC4">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3524330" w14:textId="617A4004" w:rsidR="00182BC4" w:rsidRDefault="00182BC4" w:rsidP="00182BC4">
      <w:pPr>
        <w:pStyle w:val="RAN4H1"/>
      </w:pPr>
      <w:r w:rsidRPr="00AE56B1">
        <w:t>Intro</w:t>
      </w:r>
      <w:r w:rsidRPr="00AE56B1">
        <w:rPr>
          <w:rStyle w:val="RAN4H1Char"/>
        </w:rPr>
        <w:t>ductio</w:t>
      </w:r>
      <w:r w:rsidRPr="00AE56B1">
        <w:t>n</w:t>
      </w:r>
    </w:p>
    <w:p w14:paraId="29F6CB32" w14:textId="4A209754" w:rsidR="002E41C3" w:rsidRPr="002E41C3" w:rsidRDefault="002E41C3" w:rsidP="002E41C3">
      <w:pPr>
        <w:rPr>
          <w:lang w:val="en-GB"/>
        </w:rPr>
      </w:pPr>
      <w:r>
        <w:rPr>
          <w:lang w:val="en-GB"/>
        </w:rPr>
        <w:t xml:space="preserve">In the last RAN4 meeting, </w:t>
      </w:r>
      <w:r w:rsidR="00FB4585">
        <w:rPr>
          <w:lang w:val="en-GB"/>
        </w:rPr>
        <w:t>RRC-based BWP switch delay was agreed to be in the range of [5~8] ms</w:t>
      </w:r>
      <w:r w:rsidR="0007726B">
        <w:rPr>
          <w:lang w:val="en-GB"/>
        </w:rPr>
        <w:t>, and the exact value remained to be agreed in RAN4#91 meeting.</w:t>
      </w:r>
      <w:r w:rsidR="00FB4585">
        <w:rPr>
          <w:lang w:val="en-GB"/>
        </w:rPr>
        <w:t xml:space="preserve"> </w:t>
      </w:r>
      <w:r w:rsidR="0007726B">
        <w:rPr>
          <w:lang w:val="en-GB"/>
        </w:rPr>
        <w:t>It was also agreed that interruption to other cells due to RRC-based BWP switch is the same as interruption due to DCI-based BWP switch, if BWP is switched only on one carrier. It remained open what are the interruption requirements if multiple BWPs are switched. In this contribution we discuss these remaining issues.</w:t>
      </w:r>
    </w:p>
    <w:p w14:paraId="49865AB7" w14:textId="77777777" w:rsidR="00182BC4" w:rsidRDefault="00182BC4" w:rsidP="00182BC4">
      <w:pPr>
        <w:pStyle w:val="RAN4H1"/>
      </w:pPr>
      <w:r w:rsidRPr="00AE56B1">
        <w:t>Discussion</w:t>
      </w:r>
    </w:p>
    <w:p w14:paraId="42530DE6" w14:textId="02B50A8B" w:rsidR="00182BC4" w:rsidRDefault="00DC75E9" w:rsidP="00182BC4">
      <w:pPr>
        <w:pStyle w:val="RAN4H2"/>
        <w:rPr>
          <w:lang w:val="en-GB"/>
        </w:rPr>
      </w:pPr>
      <w:r>
        <w:rPr>
          <w:lang w:val="en-GB"/>
        </w:rPr>
        <w:t>RRC-based BWP switch delay</w:t>
      </w:r>
    </w:p>
    <w:p w14:paraId="766227B9" w14:textId="5D15239B" w:rsidR="00E62CF9" w:rsidRPr="00E62CF9" w:rsidRDefault="00E62CF9" w:rsidP="00E62CF9">
      <w:pPr>
        <w:rPr>
          <w:lang w:val="en-GB"/>
        </w:rPr>
      </w:pPr>
      <w:r>
        <w:rPr>
          <w:lang w:val="en-GB"/>
        </w:rPr>
        <w:t>BWP switch delay requirement for RRC-based BWP switch delay is defined in section 8.6.3 as follows:</w:t>
      </w:r>
    </w:p>
    <w:tbl>
      <w:tblPr>
        <w:tblStyle w:val="TableGrid"/>
        <w:tblW w:w="0" w:type="auto"/>
        <w:tblInd w:w="704" w:type="dxa"/>
        <w:tblLook w:val="04A0" w:firstRow="1" w:lastRow="0" w:firstColumn="1" w:lastColumn="0" w:noHBand="0" w:noVBand="1"/>
      </w:tblPr>
      <w:tblGrid>
        <w:gridCol w:w="8913"/>
      </w:tblGrid>
      <w:tr w:rsidR="00E62CF9" w14:paraId="11003025" w14:textId="77777777" w:rsidTr="00E62CF9">
        <w:tc>
          <w:tcPr>
            <w:tcW w:w="8913" w:type="dxa"/>
          </w:tcPr>
          <w:p w14:paraId="2E9ACB03" w14:textId="77777777" w:rsidR="00E62CF9" w:rsidRPr="00FB4585" w:rsidRDefault="00E62CF9" w:rsidP="00E62CF9">
            <w:pPr>
              <w:keepNext/>
              <w:keepLines/>
              <w:spacing w:before="120" w:after="180"/>
              <w:ind w:left="1565" w:hanging="1134"/>
              <w:outlineLvl w:val="2"/>
              <w:rPr>
                <w:rFonts w:ascii="Arial" w:eastAsia="SimSun" w:hAnsi="Arial" w:cs="Times New Roman"/>
                <w:sz w:val="28"/>
                <w:szCs w:val="20"/>
                <w:lang w:eastAsia="zh-CN"/>
              </w:rPr>
            </w:pPr>
            <w:bookmarkStart w:id="3" w:name="_Toc535475994"/>
            <w:r w:rsidRPr="00FB4585">
              <w:rPr>
                <w:rFonts w:ascii="Arial" w:eastAsia="SimSun" w:hAnsi="Arial" w:cs="Times New Roman"/>
                <w:sz w:val="28"/>
                <w:szCs w:val="20"/>
                <w:lang w:eastAsia="zh-CN"/>
              </w:rPr>
              <w:t>8.6.3</w:t>
            </w:r>
            <w:r w:rsidRPr="00FB4585">
              <w:rPr>
                <w:rFonts w:ascii="Arial" w:eastAsia="SimSun" w:hAnsi="Arial" w:cs="Times New Roman"/>
                <w:sz w:val="28"/>
                <w:szCs w:val="20"/>
                <w:lang w:eastAsia="zh-CN"/>
              </w:rPr>
              <w:tab/>
              <w:t>RRC based BWP switch delay</w:t>
            </w:r>
            <w:bookmarkEnd w:id="3"/>
          </w:p>
          <w:p w14:paraId="036B04BD" w14:textId="77777777" w:rsidR="00E62CF9" w:rsidRPr="00FB4585" w:rsidRDefault="00E62CF9" w:rsidP="00E62CF9">
            <w:pPr>
              <w:spacing w:after="180"/>
              <w:ind w:left="431"/>
              <w:rPr>
                <w:rFonts w:eastAsia="SimSun" w:cs="Times New Roman"/>
                <w:szCs w:val="20"/>
                <w:lang w:eastAsia="zh-CN"/>
              </w:rPr>
            </w:pPr>
            <w:r w:rsidRPr="00FB4585">
              <w:rPr>
                <w:rFonts w:eastAsia="SimSun" w:cs="Times New Roman"/>
                <w:szCs w:val="20"/>
                <w:lang w:eastAsia="zh-CN"/>
              </w:rPr>
              <w:t xml:space="preserve">For RRC-based BWP switch, after the UE receives BWP switching request, UE shall be able to receive PDSCH (for DL active BWP switch) or transmit PUSCH (for UL active BWP switch) on the new BWP on the serving cell on which BWP switch occurs </w:t>
            </w:r>
            <w:r w:rsidRPr="00FB4585">
              <w:rPr>
                <w:rFonts w:eastAsia="SimSun" w:cs="Times New Roman"/>
                <w:szCs w:val="20"/>
                <w:lang w:val="en-GB"/>
              </w:rPr>
              <w:t xml:space="preserve">on the first DL or UL slot right after the beginning of DL </w:t>
            </w:r>
            <w:r w:rsidRPr="00FB4585">
              <w:rPr>
                <w:rFonts w:eastAsia="SimSun" w:cs="Times New Roman"/>
                <w:szCs w:val="20"/>
                <w:lang w:eastAsia="zh-CN"/>
              </w:rPr>
              <w:t xml:space="preserve">slot </w:t>
            </w:r>
            <m:oMath>
              <m:r>
                <m:rPr>
                  <m:sty m:val="p"/>
                </m:rPr>
                <w:rPr>
                  <w:rFonts w:ascii="Cambria Math" w:eastAsia="SimSun" w:hAnsi="Cambria Math" w:cs="Times New Roman"/>
                  <w:szCs w:val="20"/>
                  <w:lang w:eastAsia="zh-CN"/>
                </w:rPr>
                <m:t>n+</m:t>
              </m:r>
              <m:f>
                <m:fPr>
                  <m:ctrlPr>
                    <w:rPr>
                      <w:rFonts w:ascii="Cambria Math" w:eastAsia="SimSun" w:hAnsi="Cambria Math" w:cs="Times New Roman"/>
                      <w:i/>
                      <w:szCs w:val="20"/>
                      <w:lang w:eastAsia="zh-CN"/>
                    </w:rPr>
                  </m:ctrlPr>
                </m:fPr>
                <m:num>
                  <m:sSub>
                    <m:sSubPr>
                      <m:ctrlPr>
                        <w:rPr>
                          <w:rFonts w:ascii="Cambria Math" w:eastAsia="SimSun" w:hAnsi="Cambria Math" w:cs="Times New Roman"/>
                          <w:i/>
                          <w:szCs w:val="20"/>
                          <w:lang w:eastAsia="zh-CN"/>
                        </w:rPr>
                      </m:ctrlPr>
                    </m:sSubPr>
                    <m:e>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T</m:t>
                          </m:r>
                        </m:e>
                        <m:sub>
                          <m:r>
                            <w:rPr>
                              <w:rFonts w:ascii="Cambria Math" w:eastAsia="SimSun" w:hAnsi="Cambria Math" w:cs="Times New Roman"/>
                              <w:szCs w:val="20"/>
                              <w:lang w:eastAsia="zh-CN"/>
                            </w:rPr>
                            <m:t>RRCprocessingDelay</m:t>
                          </m:r>
                        </m:sub>
                      </m:sSub>
                      <m:r>
                        <w:rPr>
                          <w:rFonts w:ascii="Cambria Math" w:eastAsia="SimSun" w:hAnsi="Cambria Math" w:cs="Times New Roman"/>
                          <w:szCs w:val="20"/>
                          <w:lang w:eastAsia="zh-CN"/>
                        </w:rPr>
                        <m:t>+T</m:t>
                      </m:r>
                    </m:e>
                    <m:sub>
                      <m:r>
                        <w:rPr>
                          <w:rFonts w:ascii="Cambria Math" w:eastAsia="SimSun" w:hAnsi="Cambria Math" w:cs="Times New Roman"/>
                          <w:szCs w:val="20"/>
                          <w:lang w:eastAsia="zh-CN"/>
                        </w:rPr>
                        <m:t>BWPswitchDelayRRC</m:t>
                      </m:r>
                    </m:sub>
                  </m:sSub>
                </m:num>
                <m:den>
                  <m:r>
                    <w:rPr>
                      <w:rFonts w:ascii="Cambria Math" w:eastAsia="SimSun" w:hAnsi="Cambria Math" w:cs="Times New Roman"/>
                      <w:szCs w:val="20"/>
                      <w:lang w:eastAsia="zh-CN"/>
                    </w:rPr>
                    <m:t>NR Slot length</m:t>
                  </m:r>
                </m:den>
              </m:f>
            </m:oMath>
            <w:r w:rsidRPr="00FB4585">
              <w:rPr>
                <w:rFonts w:eastAsia="SimSun" w:cs="Times New Roman"/>
                <w:szCs w:val="20"/>
                <w:lang w:eastAsia="zh-CN"/>
              </w:rPr>
              <w:t xml:space="preserve">, where </w:t>
            </w:r>
          </w:p>
          <w:p w14:paraId="3BA1878C" w14:textId="77777777" w:rsidR="00E62CF9" w:rsidRPr="00FB4585" w:rsidRDefault="00E62CF9" w:rsidP="00E62CF9">
            <w:pPr>
              <w:spacing w:after="180"/>
              <w:ind w:left="715"/>
              <w:rPr>
                <w:rFonts w:eastAsia="SimSun" w:cs="Times New Roman"/>
                <w:szCs w:val="20"/>
                <w:lang w:eastAsia="zh-CN"/>
              </w:rPr>
            </w:pPr>
            <w:r w:rsidRPr="00FB4585">
              <w:rPr>
                <w:rFonts w:eastAsia="SimSun" w:cs="Times New Roman"/>
                <w:szCs w:val="20"/>
                <w:lang w:eastAsia="zh-CN"/>
              </w:rPr>
              <w:t xml:space="preserve">DL slot n is the last slot containing the RRC command, and </w:t>
            </w:r>
          </w:p>
          <w:p w14:paraId="3ED9EB3D" w14:textId="77777777" w:rsidR="00E62CF9" w:rsidRPr="00FB4585" w:rsidRDefault="002D2BB5" w:rsidP="00E62CF9">
            <w:pPr>
              <w:spacing w:after="180"/>
              <w:ind w:left="715"/>
              <w:rPr>
                <w:rFonts w:eastAsia="SimSun" w:cs="Times New Roman"/>
                <w:szCs w:val="20"/>
                <w:lang w:eastAsia="zh-CN"/>
              </w:rPr>
            </w:pP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T</m:t>
                  </m:r>
                </m:e>
                <m:sub>
                  <m:r>
                    <w:rPr>
                      <w:rFonts w:ascii="Cambria Math" w:eastAsia="SimSun" w:hAnsi="Cambria Math" w:cs="Times New Roman"/>
                      <w:szCs w:val="20"/>
                      <w:lang w:eastAsia="zh-CN"/>
                    </w:rPr>
                    <m:t>RRCprocessingDelay</m:t>
                  </m:r>
                </m:sub>
              </m:sSub>
            </m:oMath>
            <w:r w:rsidR="00E62CF9" w:rsidRPr="00FB4585">
              <w:rPr>
                <w:rFonts w:eastAsia="SimSun" w:cs="Times New Roman"/>
                <w:szCs w:val="20"/>
                <w:vertAlign w:val="subscript"/>
                <w:lang w:eastAsia="zh-CN"/>
              </w:rPr>
              <w:t xml:space="preserve"> </w:t>
            </w:r>
            <w:r w:rsidR="00E62CF9" w:rsidRPr="00FB4585">
              <w:rPr>
                <w:rFonts w:eastAsia="SimSun" w:cs="Times New Roman"/>
                <w:szCs w:val="20"/>
                <w:lang w:eastAsia="zh-CN"/>
              </w:rPr>
              <w:t>is the length of the RRC procedure delay in millisecond as defined in clause 12 in TS 38.331 [2], and</w:t>
            </w:r>
          </w:p>
          <w:p w14:paraId="492253C8" w14:textId="77777777" w:rsidR="00E62CF9" w:rsidRPr="00FB4585" w:rsidRDefault="002D2BB5" w:rsidP="00E62CF9">
            <w:pPr>
              <w:spacing w:after="180"/>
              <w:ind w:left="715"/>
              <w:rPr>
                <w:rFonts w:eastAsia="SimSun" w:cs="Times New Roman"/>
                <w:szCs w:val="20"/>
                <w:lang w:eastAsia="zh-CN"/>
              </w:rPr>
            </w:pPr>
            <m:oMath>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T</m:t>
                  </m:r>
                </m:e>
                <m:sub>
                  <m:r>
                    <w:rPr>
                      <w:rFonts w:ascii="Cambria Math" w:eastAsia="SimSun" w:hAnsi="Cambria Math" w:cs="Times New Roman"/>
                      <w:szCs w:val="20"/>
                      <w:lang w:eastAsia="zh-CN"/>
                    </w:rPr>
                    <m:t>BWPswitchDelayRRC</m:t>
                  </m:r>
                </m:sub>
              </m:sSub>
              <m:r>
                <w:rPr>
                  <w:rFonts w:ascii="Cambria Math" w:eastAsia="SimSun" w:hAnsi="Cambria Math" w:cs="Times New Roman"/>
                  <w:szCs w:val="20"/>
                  <w:lang w:eastAsia="zh-CN"/>
                </w:rPr>
                <m:t>=</m:t>
              </m:r>
              <m:r>
                <w:rPr>
                  <w:rFonts w:ascii="Cambria Math" w:eastAsia="SimSun" w:hAnsi="Cambria Math" w:cs="Times New Roman"/>
                  <w:szCs w:val="20"/>
                  <w:highlight w:val="yellow"/>
                  <w:lang w:eastAsia="zh-CN"/>
                </w:rPr>
                <m:t>[5 ~ 8]ms</m:t>
              </m:r>
            </m:oMath>
            <w:r w:rsidR="00E62CF9" w:rsidRPr="00FB4585">
              <w:rPr>
                <w:rFonts w:eastAsia="SimSun" w:cs="Times New Roman" w:hint="eastAsia"/>
                <w:szCs w:val="20"/>
                <w:lang w:eastAsia="zh-CN"/>
              </w:rPr>
              <w:t xml:space="preserve"> </w:t>
            </w:r>
            <w:r w:rsidR="00E62CF9" w:rsidRPr="00FB4585">
              <w:rPr>
                <w:rFonts w:eastAsia="SimSun" w:cs="Times New Roman"/>
                <w:szCs w:val="20"/>
                <w:lang w:eastAsia="zh-CN"/>
              </w:rPr>
              <w:t>is the time used by the UE to perform BWP switch.</w:t>
            </w:r>
          </w:p>
          <w:p w14:paraId="44F50A94" w14:textId="77777777" w:rsidR="00E62CF9" w:rsidRPr="00FB4585" w:rsidRDefault="00E62CF9" w:rsidP="00E62CF9">
            <w:pPr>
              <w:spacing w:after="180"/>
              <w:ind w:left="431"/>
              <w:rPr>
                <w:rFonts w:eastAsia="SimSun" w:cs="Times New Roman"/>
                <w:szCs w:val="20"/>
                <w:lang w:eastAsia="zh-CN"/>
              </w:rPr>
            </w:pPr>
            <w:r w:rsidRPr="00FB4585">
              <w:rPr>
                <w:rFonts w:eastAsia="SimSun" w:cs="Times New Roman"/>
                <w:szCs w:val="20"/>
                <w:lang w:eastAsia="zh-CN"/>
              </w:rPr>
              <w:t xml:space="preserve">The UE is not required to transmit UL signals or receive DL signals during the time defined by </w:t>
            </w:r>
            <m:oMath>
              <m:sSub>
                <m:sSubPr>
                  <m:ctrlPr>
                    <w:rPr>
                      <w:rFonts w:ascii="Cambria Math" w:eastAsia="SimSun" w:hAnsi="Cambria Math" w:cs="Times New Roman"/>
                      <w:i/>
                      <w:szCs w:val="20"/>
                      <w:lang w:eastAsia="zh-CN"/>
                    </w:rPr>
                  </m:ctrlPr>
                </m:sSubPr>
                <m:e>
                  <m:sSub>
                    <m:sSubPr>
                      <m:ctrlPr>
                        <w:rPr>
                          <w:rFonts w:ascii="Cambria Math" w:eastAsia="SimSun" w:hAnsi="Cambria Math" w:cs="Times New Roman"/>
                          <w:i/>
                          <w:szCs w:val="20"/>
                          <w:lang w:eastAsia="zh-CN"/>
                        </w:rPr>
                      </m:ctrlPr>
                    </m:sSubPr>
                    <m:e>
                      <m:r>
                        <w:rPr>
                          <w:rFonts w:ascii="Cambria Math" w:eastAsia="SimSun" w:hAnsi="Cambria Math" w:cs="Times New Roman"/>
                          <w:szCs w:val="20"/>
                          <w:lang w:eastAsia="zh-CN"/>
                        </w:rPr>
                        <m:t>T</m:t>
                      </m:r>
                    </m:e>
                    <m:sub>
                      <m:r>
                        <w:rPr>
                          <w:rFonts w:ascii="Cambria Math" w:eastAsia="SimSun" w:hAnsi="Cambria Math" w:cs="Times New Roman"/>
                          <w:szCs w:val="20"/>
                          <w:lang w:eastAsia="zh-CN"/>
                        </w:rPr>
                        <m:t>RRCprocessingDelay</m:t>
                      </m:r>
                    </m:sub>
                  </m:sSub>
                  <m:r>
                    <w:rPr>
                      <w:rFonts w:ascii="Cambria Math" w:eastAsia="SimSun" w:hAnsi="Cambria Math" w:cs="Times New Roman"/>
                      <w:szCs w:val="20"/>
                      <w:lang w:eastAsia="zh-CN"/>
                    </w:rPr>
                    <m:t>+T</m:t>
                  </m:r>
                </m:e>
                <m:sub>
                  <m:r>
                    <w:rPr>
                      <w:rFonts w:ascii="Cambria Math" w:eastAsia="SimSun" w:hAnsi="Cambria Math" w:cs="Times New Roman"/>
                      <w:szCs w:val="20"/>
                      <w:lang w:eastAsia="zh-CN"/>
                    </w:rPr>
                    <m:t>BWPswitchDelayRRC</m:t>
                  </m:r>
                </m:sub>
              </m:sSub>
            </m:oMath>
            <w:r w:rsidRPr="00FB4585">
              <w:rPr>
                <w:rFonts w:eastAsia="SimSun" w:cs="Times New Roman"/>
                <w:szCs w:val="20"/>
                <w:lang w:eastAsia="zh-CN"/>
              </w:rPr>
              <w:t xml:space="preserve"> on the cell where RRC-based BWP switch occurs.</w:t>
            </w:r>
          </w:p>
          <w:p w14:paraId="0059D2FF" w14:textId="77777777" w:rsidR="00E62CF9" w:rsidRDefault="00E62CF9" w:rsidP="00FB4585"/>
        </w:tc>
      </w:tr>
    </w:tbl>
    <w:p w14:paraId="4F0F04FE" w14:textId="0E3F5B32" w:rsidR="00FB4585" w:rsidRPr="00FB4585" w:rsidRDefault="00FB4585" w:rsidP="00FB4585"/>
    <w:p w14:paraId="2F9A3541" w14:textId="70DCAFC5" w:rsidR="00FB4585" w:rsidRDefault="0019144C" w:rsidP="00FB4585">
      <w:r>
        <w:t xml:space="preserve">The requirement is otherwise complete, but the exact BWP switch delay value still needs to be agreed from the range of [5~8] ms. </w:t>
      </w:r>
    </w:p>
    <w:p w14:paraId="5D500C08" w14:textId="43A325F9" w:rsidR="00485736" w:rsidRDefault="00485736" w:rsidP="00FB4585">
      <w:r>
        <w:t xml:space="preserve">In the last meeting it was argued that RRC-based BWP switch is similar to handover, which is why </w:t>
      </w:r>
      <w:r w:rsidR="00A25682">
        <w:t xml:space="preserve">it was claimed that </w:t>
      </w:r>
      <w:r>
        <w:t>the delay requirement would need to be close to similar as well. Unlike handover, BWP switch is done within the same cell, so our view is that the time it takes to reconfigure the BWP switch parameters should be significantly shorter than the time needed for handover. While we understand that it takes a longer time for the UE to configure new BWPs compared to only switching between existing ones, we still think</w:t>
      </w:r>
      <w:r w:rsidR="00A75711">
        <w:t xml:space="preserve"> that from the range of [5~8] ms,</w:t>
      </w:r>
      <w:r>
        <w:t xml:space="preserve"> a delay of 10+5 ms should be sufficient</w:t>
      </w:r>
      <w:r w:rsidR="008B70F3">
        <w:t>. This is especially when taking into account that the UE may already start configuring the new BWP parameters during the RRC processing delay</w:t>
      </w:r>
      <w:r>
        <w:t>.</w:t>
      </w:r>
    </w:p>
    <w:p w14:paraId="2D12C49A" w14:textId="19E0C042" w:rsidR="002873BE" w:rsidRPr="002873BE" w:rsidRDefault="00485736" w:rsidP="00F26189">
      <w:pPr>
        <w:pStyle w:val="RAN4proposal"/>
      </w:pPr>
      <w:r>
        <w:t>Delay requirement for RRC-based BWP switch is defined as RRC processing delay + 5 ms</w:t>
      </w:r>
      <w:r w:rsidR="008B70F3">
        <w:t xml:space="preserve"> BWP switch delay</w:t>
      </w:r>
      <w:r>
        <w:t>.</w:t>
      </w:r>
    </w:p>
    <w:p w14:paraId="6423E605" w14:textId="5F5A3C71" w:rsidR="004A3D85" w:rsidRDefault="004A3D85" w:rsidP="004A3D85">
      <w:pPr>
        <w:pStyle w:val="RAN4H2"/>
        <w:rPr>
          <w:lang w:val="en-GB"/>
        </w:rPr>
      </w:pPr>
      <w:r>
        <w:rPr>
          <w:lang w:val="en-GB"/>
        </w:rPr>
        <w:lastRenderedPageBreak/>
        <w:t>RRC-based BWP switch interruptions</w:t>
      </w:r>
    </w:p>
    <w:p w14:paraId="23CDAD78" w14:textId="7F189485" w:rsidR="0007726B" w:rsidRDefault="002F032A" w:rsidP="0007726B">
      <w:r>
        <w:t>The interruption requirement for RRC-based BWP switch was agreed to be the following:</w:t>
      </w:r>
    </w:p>
    <w:tbl>
      <w:tblPr>
        <w:tblStyle w:val="TableGrid"/>
        <w:tblW w:w="0" w:type="auto"/>
        <w:tblInd w:w="846" w:type="dxa"/>
        <w:tblCellMar>
          <w:top w:w="57" w:type="dxa"/>
          <w:left w:w="57" w:type="dxa"/>
          <w:bottom w:w="57" w:type="dxa"/>
          <w:right w:w="57" w:type="dxa"/>
        </w:tblCellMar>
        <w:tblLook w:val="04A0" w:firstRow="1" w:lastRow="0" w:firstColumn="1" w:lastColumn="0" w:noHBand="0" w:noVBand="1"/>
      </w:tblPr>
      <w:tblGrid>
        <w:gridCol w:w="8771"/>
      </w:tblGrid>
      <w:tr w:rsidR="002D3060" w14:paraId="61A88F99" w14:textId="77777777" w:rsidTr="002D3060">
        <w:tc>
          <w:tcPr>
            <w:tcW w:w="8771" w:type="dxa"/>
          </w:tcPr>
          <w:p w14:paraId="2DF58EAF" w14:textId="77777777" w:rsidR="002D3060" w:rsidRPr="003445FB" w:rsidRDefault="002D3060" w:rsidP="002D3060">
            <w:pPr>
              <w:ind w:left="431"/>
              <w:rPr>
                <w:rFonts w:cs="v4.2.0"/>
              </w:rPr>
            </w:pPr>
            <w:r>
              <w:rPr>
                <w:rFonts w:cs="v4.2.0"/>
              </w:rPr>
              <w:t xml:space="preserve">When UE receives an </w:t>
            </w:r>
            <w:r w:rsidRPr="002F032A">
              <w:rPr>
                <w:rFonts w:cs="v4.2.0"/>
                <w:highlight w:val="yellow"/>
              </w:rPr>
              <w:t>RRC reconfiguration that only requests UE to switch its active BWP on one single CC</w:t>
            </w:r>
            <w:r>
              <w:rPr>
                <w:rFonts w:cs="v4.2.0"/>
              </w:rPr>
              <w:t xml:space="preserve">, the UE is allowed to cause interruption of up to X slot </w:t>
            </w:r>
            <w:r w:rsidRPr="003445FB">
              <w:rPr>
                <w:rFonts w:cs="v4.2.0"/>
              </w:rPr>
              <w:t>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r>
              <w:rPr>
                <w:rFonts w:cs="v4.2.0"/>
              </w:rPr>
              <w:t xml:space="preserve"> The interruption is only allowed within the delay </w:t>
            </w:r>
            <w:proofErr w:type="spellStart"/>
            <w:r w:rsidRPr="00E1733C">
              <w:rPr>
                <w:rFonts w:cs="v4.2.0"/>
              </w:rPr>
              <w:t>T</w:t>
            </w:r>
            <w:r w:rsidRPr="002F032A">
              <w:rPr>
                <w:rFonts w:cs="v4.2.0"/>
                <w:vertAlign w:val="subscript"/>
              </w:rPr>
              <w:t>RRCprocessingDelay</w:t>
            </w:r>
            <w:proofErr w:type="spellEnd"/>
            <w:r w:rsidRPr="00E1733C">
              <w:rPr>
                <w:rFonts w:cs="v4.2.0"/>
              </w:rPr>
              <w:t xml:space="preserve"> + </w:t>
            </w:r>
            <w:proofErr w:type="spellStart"/>
            <w:r w:rsidRPr="00E1733C">
              <w:rPr>
                <w:rFonts w:cs="v4.2.0"/>
              </w:rPr>
              <w:t>T</w:t>
            </w:r>
            <w:r w:rsidRPr="002F032A">
              <w:rPr>
                <w:rFonts w:cs="v4.2.0"/>
                <w:vertAlign w:val="subscript"/>
              </w:rPr>
              <w:t>BWPswitchDelayRRC</w:t>
            </w:r>
            <w:proofErr w:type="spellEnd"/>
            <w:r w:rsidRPr="00E1733C">
              <w:rPr>
                <w:rFonts w:cs="v4.2.0"/>
              </w:rPr>
              <w:t xml:space="preserve"> </w:t>
            </w:r>
            <w:r>
              <w:rPr>
                <w:rFonts w:cs="v4.2.0"/>
              </w:rPr>
              <w:t>defined in section 8.6.3.</w:t>
            </w:r>
          </w:p>
          <w:p w14:paraId="406FA884" w14:textId="77777777" w:rsidR="002D3060" w:rsidRPr="003445FB" w:rsidRDefault="002D3060" w:rsidP="002D3060">
            <w:pPr>
              <w:pStyle w:val="TH"/>
              <w:ind w:left="431"/>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D3060" w:rsidRPr="00323489" w14:paraId="2B5D2BCF" w14:textId="77777777" w:rsidTr="006A093B">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6A09ABC" w14:textId="77777777" w:rsidR="002D3060" w:rsidRPr="00323489" w:rsidRDefault="002D3060" w:rsidP="002D3060">
                  <w:pPr>
                    <w:pStyle w:val="TAH"/>
                  </w:pPr>
                  <w:r w:rsidRPr="00323489">
                    <w:rPr>
                      <w:noProof/>
                      <w:lang w:val="en-US" w:eastAsia="zh-CN"/>
                    </w:rPr>
                    <w:drawing>
                      <wp:inline distT="0" distB="0" distL="0" distR="0" wp14:anchorId="5DD4D6EE" wp14:editId="49463FAD">
                        <wp:extent cx="152400" cy="152400"/>
                        <wp:effectExtent l="0" t="0" r="0" b="0"/>
                        <wp:docPr id="29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A5CDC6A" w14:textId="77777777" w:rsidR="002D3060" w:rsidRPr="00323489" w:rsidRDefault="002D3060" w:rsidP="002D3060">
                  <w:pPr>
                    <w:pStyle w:val="TAH"/>
                  </w:pPr>
                  <w:r w:rsidRPr="0032348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780983D" w14:textId="77777777" w:rsidR="002D3060" w:rsidRPr="00323489" w:rsidRDefault="002D3060" w:rsidP="002D3060">
                  <w:pPr>
                    <w:pStyle w:val="TAH"/>
                  </w:pPr>
                  <w:r w:rsidRPr="00323489">
                    <w:t>Interruption length X (</w:t>
                  </w:r>
                  <w:proofErr w:type="spellStart"/>
                  <w:r w:rsidRPr="00323489">
                    <w:t>slots</w:t>
                  </w:r>
                  <w:r w:rsidRPr="00323489">
                    <w:rPr>
                      <w:vertAlign w:val="superscript"/>
                    </w:rPr>
                    <w:t>note</w:t>
                  </w:r>
                  <w:proofErr w:type="spellEnd"/>
                  <w:r w:rsidRPr="00323489">
                    <w:rPr>
                      <w:vertAlign w:val="superscript"/>
                    </w:rPr>
                    <w:t xml:space="preserve"> 1</w:t>
                  </w:r>
                  <w:r w:rsidRPr="00323489">
                    <w:t>)</w:t>
                  </w:r>
                </w:p>
              </w:tc>
            </w:tr>
            <w:tr w:rsidR="002D3060" w:rsidRPr="00323489" w14:paraId="42B4FA84" w14:textId="77777777" w:rsidTr="006A093B">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68143" w14:textId="77777777" w:rsidR="002D3060" w:rsidRPr="00323489" w:rsidRDefault="002D3060" w:rsidP="002D306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B1BE" w14:textId="77777777" w:rsidR="002D3060" w:rsidRPr="00323489" w:rsidRDefault="002D3060" w:rsidP="002D306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AE06" w14:textId="77777777" w:rsidR="002D3060" w:rsidRPr="00323489" w:rsidRDefault="002D3060" w:rsidP="002D3060">
                  <w:pPr>
                    <w:spacing w:after="0"/>
                    <w:rPr>
                      <w:rFonts w:ascii="Arial" w:hAnsi="Arial"/>
                      <w:b/>
                      <w:sz w:val="18"/>
                    </w:rPr>
                  </w:pPr>
                </w:p>
              </w:tc>
            </w:tr>
            <w:tr w:rsidR="002D3060" w:rsidRPr="00323489" w14:paraId="2DDFA5EC" w14:textId="77777777" w:rsidTr="006A093B">
              <w:trPr>
                <w:jc w:val="center"/>
              </w:trPr>
              <w:tc>
                <w:tcPr>
                  <w:tcW w:w="852" w:type="dxa"/>
                  <w:tcBorders>
                    <w:top w:val="single" w:sz="4" w:space="0" w:color="auto"/>
                    <w:left w:val="single" w:sz="4" w:space="0" w:color="auto"/>
                    <w:bottom w:val="single" w:sz="4" w:space="0" w:color="auto"/>
                    <w:right w:val="single" w:sz="4" w:space="0" w:color="auto"/>
                  </w:tcBorders>
                  <w:hideMark/>
                </w:tcPr>
                <w:p w14:paraId="33FB67BB" w14:textId="77777777" w:rsidR="002D3060" w:rsidRPr="00323489" w:rsidRDefault="002D3060" w:rsidP="002D3060">
                  <w:pPr>
                    <w:pStyle w:val="TAC"/>
                  </w:pPr>
                  <w:r w:rsidRPr="00323489">
                    <w:t>0</w:t>
                  </w:r>
                </w:p>
              </w:tc>
              <w:tc>
                <w:tcPr>
                  <w:tcW w:w="1276" w:type="dxa"/>
                  <w:tcBorders>
                    <w:top w:val="single" w:sz="4" w:space="0" w:color="auto"/>
                    <w:left w:val="single" w:sz="4" w:space="0" w:color="auto"/>
                    <w:bottom w:val="single" w:sz="4" w:space="0" w:color="auto"/>
                    <w:right w:val="single" w:sz="4" w:space="0" w:color="auto"/>
                  </w:tcBorders>
                  <w:hideMark/>
                </w:tcPr>
                <w:p w14:paraId="4EC7393D" w14:textId="77777777" w:rsidR="002D3060" w:rsidRPr="00323489" w:rsidRDefault="002D3060" w:rsidP="002D3060">
                  <w:pPr>
                    <w:pStyle w:val="TAC"/>
                  </w:pPr>
                  <w:r w:rsidRPr="00323489">
                    <w:t>1</w:t>
                  </w:r>
                </w:p>
              </w:tc>
              <w:tc>
                <w:tcPr>
                  <w:tcW w:w="2552" w:type="dxa"/>
                  <w:tcBorders>
                    <w:top w:val="single" w:sz="4" w:space="0" w:color="auto"/>
                    <w:left w:val="single" w:sz="4" w:space="0" w:color="auto"/>
                    <w:bottom w:val="single" w:sz="4" w:space="0" w:color="auto"/>
                    <w:right w:val="single" w:sz="4" w:space="0" w:color="auto"/>
                  </w:tcBorders>
                  <w:hideMark/>
                </w:tcPr>
                <w:p w14:paraId="4BEBBDDD" w14:textId="77777777" w:rsidR="002D3060" w:rsidRPr="00323489" w:rsidRDefault="002D3060" w:rsidP="002D3060">
                  <w:pPr>
                    <w:pStyle w:val="TAC"/>
                    <w:rPr>
                      <w:lang w:eastAsia="zh-CN"/>
                    </w:rPr>
                  </w:pPr>
                  <w:r w:rsidRPr="00323489">
                    <w:rPr>
                      <w:lang w:eastAsia="zh-CN"/>
                    </w:rPr>
                    <w:t>1</w:t>
                  </w:r>
                </w:p>
              </w:tc>
            </w:tr>
            <w:tr w:rsidR="002D3060" w:rsidRPr="00323489" w14:paraId="69F3714F" w14:textId="77777777" w:rsidTr="006A093B">
              <w:trPr>
                <w:jc w:val="center"/>
              </w:trPr>
              <w:tc>
                <w:tcPr>
                  <w:tcW w:w="852" w:type="dxa"/>
                  <w:tcBorders>
                    <w:top w:val="single" w:sz="4" w:space="0" w:color="auto"/>
                    <w:left w:val="single" w:sz="4" w:space="0" w:color="auto"/>
                    <w:bottom w:val="single" w:sz="4" w:space="0" w:color="auto"/>
                    <w:right w:val="single" w:sz="4" w:space="0" w:color="auto"/>
                  </w:tcBorders>
                  <w:hideMark/>
                </w:tcPr>
                <w:p w14:paraId="77ED1204" w14:textId="77777777" w:rsidR="002D3060" w:rsidRPr="00323489" w:rsidRDefault="002D3060" w:rsidP="002D3060">
                  <w:pPr>
                    <w:pStyle w:val="TAC"/>
                  </w:pPr>
                  <w:r w:rsidRPr="00323489">
                    <w:t>1</w:t>
                  </w:r>
                </w:p>
              </w:tc>
              <w:tc>
                <w:tcPr>
                  <w:tcW w:w="1276" w:type="dxa"/>
                  <w:tcBorders>
                    <w:top w:val="single" w:sz="4" w:space="0" w:color="auto"/>
                    <w:left w:val="single" w:sz="4" w:space="0" w:color="auto"/>
                    <w:bottom w:val="single" w:sz="4" w:space="0" w:color="auto"/>
                    <w:right w:val="single" w:sz="4" w:space="0" w:color="auto"/>
                  </w:tcBorders>
                  <w:hideMark/>
                </w:tcPr>
                <w:p w14:paraId="5CD92800" w14:textId="77777777" w:rsidR="002D3060" w:rsidRPr="00323489" w:rsidRDefault="002D3060" w:rsidP="002D3060">
                  <w:pPr>
                    <w:pStyle w:val="TAC"/>
                  </w:pPr>
                  <w:r w:rsidRPr="00323489">
                    <w:t>0.5</w:t>
                  </w:r>
                </w:p>
              </w:tc>
              <w:tc>
                <w:tcPr>
                  <w:tcW w:w="2552" w:type="dxa"/>
                  <w:tcBorders>
                    <w:top w:val="single" w:sz="4" w:space="0" w:color="auto"/>
                    <w:left w:val="single" w:sz="4" w:space="0" w:color="auto"/>
                    <w:bottom w:val="single" w:sz="4" w:space="0" w:color="auto"/>
                    <w:right w:val="single" w:sz="4" w:space="0" w:color="auto"/>
                  </w:tcBorders>
                  <w:hideMark/>
                </w:tcPr>
                <w:p w14:paraId="11E06E48" w14:textId="77777777" w:rsidR="002D3060" w:rsidRPr="00323489" w:rsidRDefault="002D3060" w:rsidP="002D3060">
                  <w:pPr>
                    <w:pStyle w:val="TAC"/>
                    <w:rPr>
                      <w:lang w:eastAsia="zh-CN"/>
                    </w:rPr>
                  </w:pPr>
                  <w:r w:rsidRPr="00323489">
                    <w:rPr>
                      <w:lang w:eastAsia="zh-CN"/>
                    </w:rPr>
                    <w:t>1</w:t>
                  </w:r>
                </w:p>
              </w:tc>
            </w:tr>
            <w:tr w:rsidR="002D3060" w:rsidRPr="00323489" w14:paraId="3B61CF84" w14:textId="77777777" w:rsidTr="006A093B">
              <w:trPr>
                <w:jc w:val="center"/>
              </w:trPr>
              <w:tc>
                <w:tcPr>
                  <w:tcW w:w="852" w:type="dxa"/>
                  <w:tcBorders>
                    <w:top w:val="single" w:sz="4" w:space="0" w:color="auto"/>
                    <w:left w:val="single" w:sz="4" w:space="0" w:color="auto"/>
                    <w:bottom w:val="single" w:sz="4" w:space="0" w:color="auto"/>
                    <w:right w:val="single" w:sz="4" w:space="0" w:color="auto"/>
                  </w:tcBorders>
                  <w:hideMark/>
                </w:tcPr>
                <w:p w14:paraId="3B4EC388" w14:textId="77777777" w:rsidR="002D3060" w:rsidRPr="00323489" w:rsidRDefault="002D3060" w:rsidP="002D3060">
                  <w:pPr>
                    <w:pStyle w:val="TAC"/>
                  </w:pPr>
                  <w:r w:rsidRPr="00323489">
                    <w:t>2</w:t>
                  </w:r>
                </w:p>
              </w:tc>
              <w:tc>
                <w:tcPr>
                  <w:tcW w:w="1276" w:type="dxa"/>
                  <w:tcBorders>
                    <w:top w:val="single" w:sz="4" w:space="0" w:color="auto"/>
                    <w:left w:val="single" w:sz="4" w:space="0" w:color="auto"/>
                    <w:bottom w:val="single" w:sz="4" w:space="0" w:color="auto"/>
                    <w:right w:val="single" w:sz="4" w:space="0" w:color="auto"/>
                  </w:tcBorders>
                  <w:hideMark/>
                </w:tcPr>
                <w:p w14:paraId="57B01E75" w14:textId="77777777" w:rsidR="002D3060" w:rsidRPr="00323489" w:rsidRDefault="002D3060" w:rsidP="002D3060">
                  <w:pPr>
                    <w:pStyle w:val="TAC"/>
                  </w:pPr>
                  <w:r w:rsidRPr="00323489">
                    <w:t>0.25</w:t>
                  </w:r>
                </w:p>
              </w:tc>
              <w:tc>
                <w:tcPr>
                  <w:tcW w:w="2552" w:type="dxa"/>
                  <w:tcBorders>
                    <w:top w:val="single" w:sz="4" w:space="0" w:color="auto"/>
                    <w:left w:val="single" w:sz="4" w:space="0" w:color="auto"/>
                    <w:bottom w:val="single" w:sz="4" w:space="0" w:color="auto"/>
                    <w:right w:val="single" w:sz="4" w:space="0" w:color="auto"/>
                  </w:tcBorders>
                  <w:hideMark/>
                </w:tcPr>
                <w:p w14:paraId="1A8D577B" w14:textId="77777777" w:rsidR="002D3060" w:rsidRPr="00323489" w:rsidRDefault="002D3060" w:rsidP="002D3060">
                  <w:pPr>
                    <w:pStyle w:val="TAC"/>
                    <w:rPr>
                      <w:lang w:eastAsia="zh-CN"/>
                    </w:rPr>
                  </w:pPr>
                  <w:r w:rsidRPr="00323489">
                    <w:rPr>
                      <w:lang w:eastAsia="zh-CN"/>
                    </w:rPr>
                    <w:t>3</w:t>
                  </w:r>
                </w:p>
              </w:tc>
            </w:tr>
            <w:tr w:rsidR="002D3060" w:rsidRPr="00323489" w14:paraId="57C95993" w14:textId="77777777" w:rsidTr="006A093B">
              <w:trPr>
                <w:jc w:val="center"/>
              </w:trPr>
              <w:tc>
                <w:tcPr>
                  <w:tcW w:w="852" w:type="dxa"/>
                  <w:tcBorders>
                    <w:top w:val="single" w:sz="4" w:space="0" w:color="auto"/>
                    <w:left w:val="single" w:sz="4" w:space="0" w:color="auto"/>
                    <w:bottom w:val="single" w:sz="4" w:space="0" w:color="auto"/>
                    <w:right w:val="single" w:sz="4" w:space="0" w:color="auto"/>
                  </w:tcBorders>
                  <w:hideMark/>
                </w:tcPr>
                <w:p w14:paraId="3262DFE2" w14:textId="77777777" w:rsidR="002D3060" w:rsidRPr="00323489" w:rsidRDefault="002D3060" w:rsidP="002D3060">
                  <w:pPr>
                    <w:pStyle w:val="TAC"/>
                  </w:pPr>
                  <w:r w:rsidRPr="00323489">
                    <w:t>3</w:t>
                  </w:r>
                </w:p>
              </w:tc>
              <w:tc>
                <w:tcPr>
                  <w:tcW w:w="1276" w:type="dxa"/>
                  <w:tcBorders>
                    <w:top w:val="single" w:sz="4" w:space="0" w:color="auto"/>
                    <w:left w:val="single" w:sz="4" w:space="0" w:color="auto"/>
                    <w:bottom w:val="single" w:sz="4" w:space="0" w:color="auto"/>
                    <w:right w:val="single" w:sz="4" w:space="0" w:color="auto"/>
                  </w:tcBorders>
                  <w:hideMark/>
                </w:tcPr>
                <w:p w14:paraId="1633AE48" w14:textId="77777777" w:rsidR="002D3060" w:rsidRPr="00323489" w:rsidRDefault="002D3060" w:rsidP="002D3060">
                  <w:pPr>
                    <w:pStyle w:val="TAC"/>
                  </w:pPr>
                  <w:r w:rsidRPr="00323489">
                    <w:t>0.125</w:t>
                  </w:r>
                </w:p>
              </w:tc>
              <w:tc>
                <w:tcPr>
                  <w:tcW w:w="2552" w:type="dxa"/>
                  <w:tcBorders>
                    <w:top w:val="single" w:sz="4" w:space="0" w:color="auto"/>
                    <w:left w:val="single" w:sz="4" w:space="0" w:color="auto"/>
                    <w:bottom w:val="single" w:sz="4" w:space="0" w:color="auto"/>
                    <w:right w:val="single" w:sz="4" w:space="0" w:color="auto"/>
                  </w:tcBorders>
                  <w:hideMark/>
                </w:tcPr>
                <w:p w14:paraId="57B1B714" w14:textId="77777777" w:rsidR="002D3060" w:rsidRPr="00323489" w:rsidRDefault="002D3060" w:rsidP="002D3060">
                  <w:pPr>
                    <w:pStyle w:val="TAC"/>
                    <w:rPr>
                      <w:lang w:eastAsia="zh-CN"/>
                    </w:rPr>
                  </w:pPr>
                  <w:r w:rsidRPr="00323489">
                    <w:rPr>
                      <w:lang w:eastAsia="zh-CN"/>
                    </w:rPr>
                    <w:t>5</w:t>
                  </w:r>
                </w:p>
              </w:tc>
            </w:tr>
            <w:tr w:rsidR="002D3060" w:rsidRPr="00323489" w14:paraId="1F38B718" w14:textId="77777777" w:rsidTr="006A093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27E380A" w14:textId="77777777" w:rsidR="002D3060" w:rsidRPr="00323489" w:rsidRDefault="002D3060" w:rsidP="002D3060">
                  <w:pPr>
                    <w:pStyle w:val="TAN"/>
                    <w:rPr>
                      <w:lang w:eastAsia="zh-CN"/>
                    </w:rPr>
                  </w:pPr>
                  <w:r w:rsidRPr="00323489">
                    <w:rPr>
                      <w:lang w:eastAsia="zh-CN"/>
                    </w:rPr>
                    <w:t>Note1:</w:t>
                  </w:r>
                  <w:r w:rsidRPr="00323489">
                    <w:rPr>
                      <w:sz w:val="28"/>
                    </w:rPr>
                    <w:tab/>
                  </w:r>
                  <w:r w:rsidRPr="00323489">
                    <w:rPr>
                      <w:lang w:eastAsia="zh-CN"/>
                    </w:rPr>
                    <w:t xml:space="preserve">If the BWP switch involves changing of SCS, the interruption due to BWP switch is determined by the larger one between the SCS before BWP switch and the SCS after the BWP switch. </w:t>
                  </w:r>
                </w:p>
              </w:tc>
            </w:tr>
          </w:tbl>
          <w:p w14:paraId="1BA9F1A9" w14:textId="77777777" w:rsidR="002D3060" w:rsidRDefault="002D3060" w:rsidP="0007726B"/>
        </w:tc>
      </w:tr>
    </w:tbl>
    <w:p w14:paraId="6D069CB6" w14:textId="77777777" w:rsidR="002D3060" w:rsidRDefault="002D3060" w:rsidP="0007726B"/>
    <w:p w14:paraId="1FF6F0E4" w14:textId="78A991C9" w:rsidR="002F032A" w:rsidRDefault="002F032A" w:rsidP="0007726B">
      <w:pPr>
        <w:rPr>
          <w:rFonts w:cs="v4.2.0"/>
        </w:rPr>
      </w:pPr>
      <w:r>
        <w:t xml:space="preserve">As the highlighted part shows, interruption requirements now only exist for the case when RRC reconfiguration command requests UE to only switch its active BWP on a single CC. The interruption shall happen within </w:t>
      </w:r>
      <w:proofErr w:type="spellStart"/>
      <w:r w:rsidRPr="00E1733C">
        <w:rPr>
          <w:rFonts w:cs="v4.2.0"/>
        </w:rPr>
        <w:t>T</w:t>
      </w:r>
      <w:r w:rsidRPr="002F032A">
        <w:rPr>
          <w:rFonts w:cs="v4.2.0"/>
          <w:vertAlign w:val="subscript"/>
        </w:rPr>
        <w:t>RRCprocessingDelay</w:t>
      </w:r>
      <w:proofErr w:type="spellEnd"/>
      <w:r w:rsidRPr="00E1733C">
        <w:rPr>
          <w:rFonts w:cs="v4.2.0"/>
        </w:rPr>
        <w:t xml:space="preserve"> + </w:t>
      </w:r>
      <w:proofErr w:type="spellStart"/>
      <w:r w:rsidRPr="00E1733C">
        <w:rPr>
          <w:rFonts w:cs="v4.2.0"/>
        </w:rPr>
        <w:t>T</w:t>
      </w:r>
      <w:r w:rsidRPr="002F032A">
        <w:rPr>
          <w:rFonts w:cs="v4.2.0"/>
          <w:vertAlign w:val="subscript"/>
        </w:rPr>
        <w:t>BWPswitchDelayRRC</w:t>
      </w:r>
      <w:proofErr w:type="spellEnd"/>
      <w:r>
        <w:rPr>
          <w:rFonts w:cs="v4.2.0"/>
        </w:rPr>
        <w:t xml:space="preserve">. It </w:t>
      </w:r>
      <w:r w:rsidR="002D3060">
        <w:rPr>
          <w:rFonts w:cs="v4.2.0"/>
        </w:rPr>
        <w:t xml:space="preserve">is </w:t>
      </w:r>
      <w:r>
        <w:rPr>
          <w:rFonts w:cs="v4.2.0"/>
        </w:rPr>
        <w:t>open how the interruption is defined when BWP is switched on multiple CCs.</w:t>
      </w:r>
    </w:p>
    <w:p w14:paraId="456A1D0E" w14:textId="3F89253D" w:rsidR="002F032A" w:rsidRPr="002F032A" w:rsidRDefault="002F032A" w:rsidP="0007726B">
      <w:r>
        <w:t xml:space="preserve">In our view </w:t>
      </w:r>
      <w:r w:rsidR="00302C85">
        <w:t>it</w:t>
      </w:r>
      <w:r>
        <w:t xml:space="preserve"> would be</w:t>
      </w:r>
      <w:r w:rsidR="00302C85">
        <w:t xml:space="preserve"> logical</w:t>
      </w:r>
      <w:r>
        <w:t xml:space="preserve"> to define the interruption duration to be </w:t>
      </w:r>
      <w:r w:rsidR="00A25682">
        <w:t>the same</w:t>
      </w:r>
      <w:r>
        <w:t xml:space="preserve"> for all BWP switches that are requested by the same RRC reconfiguration command. This allows the UE to switch each BWP and cause the corresponding interruption separately</w:t>
      </w:r>
      <w:r w:rsidR="00E62CF9">
        <w:t>, if needed</w:t>
      </w:r>
      <w:r>
        <w:t>. All</w:t>
      </w:r>
      <w:r w:rsidR="002D3060">
        <w:t xml:space="preserve"> of these</w:t>
      </w:r>
      <w:r>
        <w:t xml:space="preserve"> interruptions shall happen within </w:t>
      </w:r>
      <w:proofErr w:type="spellStart"/>
      <w:r w:rsidRPr="00E1733C">
        <w:rPr>
          <w:rFonts w:cs="v4.2.0"/>
        </w:rPr>
        <w:t>T</w:t>
      </w:r>
      <w:r w:rsidRPr="002F032A">
        <w:rPr>
          <w:rFonts w:cs="v4.2.0"/>
          <w:vertAlign w:val="subscript"/>
        </w:rPr>
        <w:t>RRCprocessingDelay</w:t>
      </w:r>
      <w:proofErr w:type="spellEnd"/>
      <w:r w:rsidRPr="00E1733C">
        <w:rPr>
          <w:rFonts w:cs="v4.2.0"/>
        </w:rPr>
        <w:t xml:space="preserve"> + </w:t>
      </w:r>
      <w:proofErr w:type="spellStart"/>
      <w:r w:rsidRPr="00E1733C">
        <w:rPr>
          <w:rFonts w:cs="v4.2.0"/>
        </w:rPr>
        <w:t>T</w:t>
      </w:r>
      <w:r w:rsidRPr="002F032A">
        <w:rPr>
          <w:rFonts w:cs="v4.2.0"/>
          <w:vertAlign w:val="subscript"/>
        </w:rPr>
        <w:t>BWPswitchDelayRRC</w:t>
      </w:r>
      <w:proofErr w:type="spellEnd"/>
      <w:r>
        <w:rPr>
          <w:rFonts w:cs="v4.2.0"/>
        </w:rPr>
        <w:t>.</w:t>
      </w:r>
    </w:p>
    <w:p w14:paraId="7DE38BD2" w14:textId="20D409EF" w:rsidR="002F032A" w:rsidRPr="002F032A" w:rsidRDefault="002F032A" w:rsidP="002F032A">
      <w:pPr>
        <w:pStyle w:val="RAN4proposal"/>
      </w:pPr>
      <w:r>
        <w:t xml:space="preserve">If RRC reconfiguration requests UE to switch its active BWP on multiple CCs, each of these BWP switches is allowed to cause an interruption of X slots as defined in Table 8.2.1.2.7-1 etc. to other active serving cells. All interruptions shall occur within the BWP switch delay </w:t>
      </w:r>
      <w:proofErr w:type="spellStart"/>
      <w:r w:rsidRPr="00E1733C">
        <w:rPr>
          <w:rFonts w:cs="v4.2.0"/>
        </w:rPr>
        <w:t>T</w:t>
      </w:r>
      <w:r w:rsidRPr="002F032A">
        <w:rPr>
          <w:rFonts w:cs="v4.2.0"/>
          <w:vertAlign w:val="subscript"/>
        </w:rPr>
        <w:t>RRCprocessingDelay</w:t>
      </w:r>
      <w:proofErr w:type="spellEnd"/>
      <w:r w:rsidRPr="00E1733C">
        <w:rPr>
          <w:rFonts w:cs="v4.2.0"/>
        </w:rPr>
        <w:t xml:space="preserve"> + </w:t>
      </w:r>
      <w:proofErr w:type="spellStart"/>
      <w:r w:rsidRPr="00E1733C">
        <w:rPr>
          <w:rFonts w:cs="v4.2.0"/>
        </w:rPr>
        <w:t>T</w:t>
      </w:r>
      <w:r w:rsidRPr="002F032A">
        <w:rPr>
          <w:rFonts w:cs="v4.2.0"/>
          <w:vertAlign w:val="subscript"/>
        </w:rPr>
        <w:t>BWPswitchDelayRRC</w:t>
      </w:r>
      <w:proofErr w:type="spellEnd"/>
      <w:r>
        <w:rPr>
          <w:rFonts w:cs="v4.2.0"/>
        </w:rPr>
        <w:t>.</w:t>
      </w:r>
    </w:p>
    <w:p w14:paraId="3826375F" w14:textId="77777777" w:rsidR="00182BC4" w:rsidRDefault="00182BC4" w:rsidP="00182BC4">
      <w:pPr>
        <w:pStyle w:val="RAN4H1"/>
      </w:pPr>
      <w:r w:rsidRPr="00A37002">
        <w:t>Conclusion</w:t>
      </w:r>
    </w:p>
    <w:p w14:paraId="2D2710C1" w14:textId="742E9C14" w:rsidR="00182BC4" w:rsidRDefault="000439D8" w:rsidP="00182BC4">
      <w:pPr>
        <w:rPr>
          <w:lang w:val="en-GB"/>
        </w:rPr>
      </w:pPr>
      <w:r w:rsidRPr="000439D8">
        <w:rPr>
          <w:lang w:val="en-GB"/>
        </w:rPr>
        <w:t>In this contribution we have</w:t>
      </w:r>
      <w:r w:rsidR="000C316A">
        <w:rPr>
          <w:lang w:val="en-GB"/>
        </w:rPr>
        <w:t xml:space="preserve"> discussed BWP switch delay and interruption requirements for RRC-based BWP switch. Based on the discussion we have made the following proposals:</w:t>
      </w:r>
    </w:p>
    <w:p w14:paraId="3B26AF37" w14:textId="3B2ACC8F" w:rsidR="00A25682" w:rsidRPr="00A25682" w:rsidRDefault="00A25682" w:rsidP="00A25682">
      <w:pPr>
        <w:pStyle w:val="RAN4proposal"/>
        <w:numPr>
          <w:ilvl w:val="0"/>
          <w:numId w:val="35"/>
        </w:numPr>
      </w:pPr>
      <w:r>
        <w:t>Delay requirement for RRC-based BWP switch is defined as RRC processing delay + 5 ms BWP switch delay.</w:t>
      </w:r>
      <w:bookmarkStart w:id="4" w:name="_GoBack"/>
      <w:bookmarkEnd w:id="4"/>
    </w:p>
    <w:p w14:paraId="0C4CC646" w14:textId="77777777" w:rsidR="00A25682" w:rsidRPr="002F032A" w:rsidRDefault="00A25682" w:rsidP="00A25682">
      <w:pPr>
        <w:pStyle w:val="RAN4proposal"/>
      </w:pPr>
      <w:r>
        <w:t xml:space="preserve">If RRC reconfiguration requests UE to switch its active BWP on multiple CCs, each of these BWP switches is allowed to cause an interruption of X slots as defined in Table 8.2.1.2.7-1 etc. to other active serving cells. All interruptions shall occur within the BWP switch delay </w:t>
      </w:r>
      <w:proofErr w:type="spellStart"/>
      <w:r w:rsidRPr="00E1733C">
        <w:rPr>
          <w:rFonts w:cs="v4.2.0"/>
        </w:rPr>
        <w:t>T</w:t>
      </w:r>
      <w:r w:rsidRPr="002F032A">
        <w:rPr>
          <w:rFonts w:cs="v4.2.0"/>
          <w:vertAlign w:val="subscript"/>
        </w:rPr>
        <w:t>RRCprocessingDelay</w:t>
      </w:r>
      <w:proofErr w:type="spellEnd"/>
      <w:r w:rsidRPr="00E1733C">
        <w:rPr>
          <w:rFonts w:cs="v4.2.0"/>
        </w:rPr>
        <w:t xml:space="preserve"> + </w:t>
      </w:r>
      <w:proofErr w:type="spellStart"/>
      <w:r w:rsidRPr="00E1733C">
        <w:rPr>
          <w:rFonts w:cs="v4.2.0"/>
        </w:rPr>
        <w:t>T</w:t>
      </w:r>
      <w:r w:rsidRPr="002F032A">
        <w:rPr>
          <w:rFonts w:cs="v4.2.0"/>
          <w:vertAlign w:val="subscript"/>
        </w:rPr>
        <w:t>BWPswitchDelayRRC</w:t>
      </w:r>
      <w:proofErr w:type="spellEnd"/>
      <w:r>
        <w:rPr>
          <w:rFonts w:cs="v4.2.0"/>
        </w:rPr>
        <w:t>.</w:t>
      </w:r>
    </w:p>
    <w:p w14:paraId="4EBA7C67" w14:textId="77777777" w:rsidR="00182BC4" w:rsidRPr="0095295C" w:rsidRDefault="00182BC4" w:rsidP="00182BC4">
      <w:pPr>
        <w:pStyle w:val="RAN4H1"/>
        <w:numPr>
          <w:ilvl w:val="0"/>
          <w:numId w:val="0"/>
        </w:numPr>
        <w:ind w:left="360" w:hanging="360"/>
      </w:pPr>
      <w:r w:rsidRPr="0095295C">
        <w:t>References</w:t>
      </w:r>
    </w:p>
    <w:p w14:paraId="3F4CBE29" w14:textId="3F76CD27" w:rsidR="006F095B" w:rsidRDefault="00182BC4" w:rsidP="00182BC4">
      <w:pPr>
        <w:pStyle w:val="ListParagraph"/>
        <w:numPr>
          <w:ilvl w:val="0"/>
          <w:numId w:val="21"/>
        </w:numPr>
        <w:ind w:right="-22"/>
        <w:rPr>
          <w:lang w:val="en-GB"/>
        </w:rPr>
      </w:pPr>
      <w:r w:rsidRPr="00CA61E7">
        <w:rPr>
          <w:lang w:val="en-GB"/>
        </w:rPr>
        <w:t>R4-1816689</w:t>
      </w:r>
      <w:r>
        <w:rPr>
          <w:lang w:val="en-GB"/>
        </w:rPr>
        <w:t xml:space="preserve">, </w:t>
      </w:r>
      <w:r w:rsidRPr="00C413AE">
        <w:rPr>
          <w:lang w:val="en-GB"/>
        </w:rPr>
        <w:t>WF on RRC and MAC based BWP switching</w:t>
      </w:r>
      <w:r>
        <w:rPr>
          <w:lang w:val="en-GB"/>
        </w:rPr>
        <w:t xml:space="preserve">, </w:t>
      </w:r>
      <w:proofErr w:type="spellStart"/>
      <w:r w:rsidRPr="00C413AE">
        <w:rPr>
          <w:lang w:val="en-GB"/>
        </w:rPr>
        <w:t>Nokia,Nokia</w:t>
      </w:r>
      <w:proofErr w:type="spellEnd"/>
      <w:r w:rsidRPr="00C413AE">
        <w:rPr>
          <w:lang w:val="en-GB"/>
        </w:rPr>
        <w:t xml:space="preserve">, Nokia Shanghai Bell, </w:t>
      </w:r>
      <w:proofErr w:type="spellStart"/>
      <w:r w:rsidRPr="00C413AE">
        <w:rPr>
          <w:lang w:val="en-GB"/>
        </w:rPr>
        <w:t>Mediatek</w:t>
      </w:r>
      <w:proofErr w:type="spellEnd"/>
      <w:r w:rsidRPr="00C413AE">
        <w:rPr>
          <w:lang w:val="en-GB"/>
        </w:rPr>
        <w:t xml:space="preserve"> Inc.</w:t>
      </w:r>
      <w:r>
        <w:rPr>
          <w:lang w:val="en-GB"/>
        </w:rPr>
        <w:t xml:space="preserve">, </w:t>
      </w:r>
      <w:r w:rsidRPr="006F095B">
        <w:rPr>
          <w:lang w:val="en-GB"/>
        </w:rPr>
        <w:t xml:space="preserve">3GPP TSG-RAN WG4 </w:t>
      </w:r>
      <w:r>
        <w:rPr>
          <w:lang w:val="en-GB"/>
        </w:rPr>
        <w:t>Meeting #89, Spokane, US, 12-16 November 2019.</w:t>
      </w:r>
    </w:p>
    <w:p w14:paraId="4BA91EB8" w14:textId="3C45175F" w:rsidR="00C7316F" w:rsidRPr="005E43B2" w:rsidRDefault="00C7316F" w:rsidP="00182BC4">
      <w:pPr>
        <w:pStyle w:val="ListParagraph"/>
        <w:numPr>
          <w:ilvl w:val="0"/>
          <w:numId w:val="21"/>
        </w:numPr>
        <w:ind w:right="-22"/>
        <w:rPr>
          <w:lang w:val="en-GB"/>
        </w:rPr>
      </w:pPr>
      <w:r w:rsidRPr="005E43B2">
        <w:rPr>
          <w:lang w:val="en-GB"/>
        </w:rPr>
        <w:lastRenderedPageBreak/>
        <w:t>R2-1818901, LS on RRC processing delay for BWP switching, RAN2 to RAN4, 3GPP TSG RAN WG4 Meeting #89, Spokane, US, 12th – 16th Nov, 2018.</w:t>
      </w:r>
    </w:p>
    <w:p w14:paraId="27B0EB80" w14:textId="1805074F" w:rsidR="005E43B2" w:rsidRPr="005E43B2" w:rsidRDefault="005E43B2" w:rsidP="005E43B2">
      <w:pPr>
        <w:pStyle w:val="ListParagraph"/>
        <w:numPr>
          <w:ilvl w:val="0"/>
          <w:numId w:val="21"/>
        </w:numPr>
        <w:ind w:right="-22"/>
        <w:rPr>
          <w:lang w:val="en-GB"/>
        </w:rPr>
      </w:pPr>
      <w:r w:rsidRPr="005E43B2">
        <w:rPr>
          <w:lang w:val="en-GB"/>
        </w:rPr>
        <w:t>R4-1904508, Response LS on RRC processing delay for BWP switching, Nokia, Nokia Shanghai Bell, 3GPP TSG-RAN WG4 Meeting #90bis, Xi’an, 8-12 April 2019.</w:t>
      </w:r>
    </w:p>
    <w:p w14:paraId="7053CB59" w14:textId="63F5E13D" w:rsidR="00C7316F" w:rsidRPr="005E43B2" w:rsidRDefault="005E43B2" w:rsidP="005E43B2">
      <w:pPr>
        <w:pStyle w:val="ListParagraph"/>
        <w:numPr>
          <w:ilvl w:val="0"/>
          <w:numId w:val="21"/>
        </w:numPr>
        <w:ind w:right="-22"/>
        <w:rPr>
          <w:lang w:val="en-GB"/>
        </w:rPr>
      </w:pPr>
      <w:r w:rsidRPr="005E43B2">
        <w:rPr>
          <w:lang w:val="en-GB"/>
        </w:rPr>
        <w:t>R4-1904507, CR section 8.6 RRC based BWP switch delay, Nokia, Nokia Shanghai Bell, 3GPP TSG-RAN WG4 Meeting #90bis, Xi’an, 8-12 April 2019.</w:t>
      </w:r>
    </w:p>
    <w:sectPr w:rsidR="00C7316F" w:rsidRPr="005E43B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0F1FA" w14:textId="77777777" w:rsidR="002D2BB5" w:rsidRDefault="002D2BB5" w:rsidP="00001C9B">
      <w:pPr>
        <w:spacing w:after="0" w:line="240" w:lineRule="auto"/>
      </w:pPr>
      <w:r>
        <w:separator/>
      </w:r>
    </w:p>
  </w:endnote>
  <w:endnote w:type="continuationSeparator" w:id="0">
    <w:p w14:paraId="65C1EEA3" w14:textId="77777777" w:rsidR="002D2BB5" w:rsidRDefault="002D2BB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259D2" w14:textId="77777777" w:rsidR="002D2BB5" w:rsidRDefault="002D2BB5" w:rsidP="00001C9B">
      <w:pPr>
        <w:spacing w:after="0" w:line="240" w:lineRule="auto"/>
      </w:pPr>
      <w:r>
        <w:separator/>
      </w:r>
    </w:p>
  </w:footnote>
  <w:footnote w:type="continuationSeparator" w:id="0">
    <w:p w14:paraId="6B55CD3D" w14:textId="77777777" w:rsidR="002D2BB5" w:rsidRDefault="002D2BB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6A64"/>
    <w:multiLevelType w:val="hybridMultilevel"/>
    <w:tmpl w:val="75B629BE"/>
    <w:lvl w:ilvl="0" w:tplc="A3F46232">
      <w:start w:val="1"/>
      <w:numFmt w:val="bullet"/>
      <w:lvlText w:val="•"/>
      <w:lvlJc w:val="left"/>
      <w:pPr>
        <w:tabs>
          <w:tab w:val="num" w:pos="720"/>
        </w:tabs>
        <w:ind w:left="720" w:hanging="360"/>
      </w:pPr>
      <w:rPr>
        <w:rFonts w:ascii="Arial" w:hAnsi="Arial" w:hint="default"/>
      </w:rPr>
    </w:lvl>
    <w:lvl w:ilvl="1" w:tplc="7D2ECD6E">
      <w:start w:val="52"/>
      <w:numFmt w:val="bullet"/>
      <w:lvlText w:val="–"/>
      <w:lvlJc w:val="left"/>
      <w:pPr>
        <w:tabs>
          <w:tab w:val="num" w:pos="1440"/>
        </w:tabs>
        <w:ind w:left="1440" w:hanging="360"/>
      </w:pPr>
      <w:rPr>
        <w:rFonts w:ascii="Arial" w:hAnsi="Arial" w:hint="default"/>
      </w:rPr>
    </w:lvl>
    <w:lvl w:ilvl="2" w:tplc="8968FF16" w:tentative="1">
      <w:start w:val="1"/>
      <w:numFmt w:val="bullet"/>
      <w:lvlText w:val="•"/>
      <w:lvlJc w:val="left"/>
      <w:pPr>
        <w:tabs>
          <w:tab w:val="num" w:pos="2160"/>
        </w:tabs>
        <w:ind w:left="2160" w:hanging="360"/>
      </w:pPr>
      <w:rPr>
        <w:rFonts w:ascii="Arial" w:hAnsi="Arial" w:hint="default"/>
      </w:rPr>
    </w:lvl>
    <w:lvl w:ilvl="3" w:tplc="A2DAECB0" w:tentative="1">
      <w:start w:val="1"/>
      <w:numFmt w:val="bullet"/>
      <w:lvlText w:val="•"/>
      <w:lvlJc w:val="left"/>
      <w:pPr>
        <w:tabs>
          <w:tab w:val="num" w:pos="2880"/>
        </w:tabs>
        <w:ind w:left="2880" w:hanging="360"/>
      </w:pPr>
      <w:rPr>
        <w:rFonts w:ascii="Arial" w:hAnsi="Arial" w:hint="default"/>
      </w:rPr>
    </w:lvl>
    <w:lvl w:ilvl="4" w:tplc="C76AE852" w:tentative="1">
      <w:start w:val="1"/>
      <w:numFmt w:val="bullet"/>
      <w:lvlText w:val="•"/>
      <w:lvlJc w:val="left"/>
      <w:pPr>
        <w:tabs>
          <w:tab w:val="num" w:pos="3600"/>
        </w:tabs>
        <w:ind w:left="3600" w:hanging="360"/>
      </w:pPr>
      <w:rPr>
        <w:rFonts w:ascii="Arial" w:hAnsi="Arial" w:hint="default"/>
      </w:rPr>
    </w:lvl>
    <w:lvl w:ilvl="5" w:tplc="333E3E82" w:tentative="1">
      <w:start w:val="1"/>
      <w:numFmt w:val="bullet"/>
      <w:lvlText w:val="•"/>
      <w:lvlJc w:val="left"/>
      <w:pPr>
        <w:tabs>
          <w:tab w:val="num" w:pos="4320"/>
        </w:tabs>
        <w:ind w:left="4320" w:hanging="360"/>
      </w:pPr>
      <w:rPr>
        <w:rFonts w:ascii="Arial" w:hAnsi="Arial" w:hint="default"/>
      </w:rPr>
    </w:lvl>
    <w:lvl w:ilvl="6" w:tplc="8BE09A62" w:tentative="1">
      <w:start w:val="1"/>
      <w:numFmt w:val="bullet"/>
      <w:lvlText w:val="•"/>
      <w:lvlJc w:val="left"/>
      <w:pPr>
        <w:tabs>
          <w:tab w:val="num" w:pos="5040"/>
        </w:tabs>
        <w:ind w:left="5040" w:hanging="360"/>
      </w:pPr>
      <w:rPr>
        <w:rFonts w:ascii="Arial" w:hAnsi="Arial" w:hint="default"/>
      </w:rPr>
    </w:lvl>
    <w:lvl w:ilvl="7" w:tplc="2E5020C4" w:tentative="1">
      <w:start w:val="1"/>
      <w:numFmt w:val="bullet"/>
      <w:lvlText w:val="•"/>
      <w:lvlJc w:val="left"/>
      <w:pPr>
        <w:tabs>
          <w:tab w:val="num" w:pos="5760"/>
        </w:tabs>
        <w:ind w:left="5760" w:hanging="360"/>
      </w:pPr>
      <w:rPr>
        <w:rFonts w:ascii="Arial" w:hAnsi="Arial" w:hint="default"/>
      </w:rPr>
    </w:lvl>
    <w:lvl w:ilvl="8" w:tplc="76BC9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844D36"/>
    <w:multiLevelType w:val="hybridMultilevel"/>
    <w:tmpl w:val="A8FAE9EE"/>
    <w:lvl w:ilvl="0" w:tplc="0D4C6A32">
      <w:start w:val="1"/>
      <w:numFmt w:val="bullet"/>
      <w:lvlText w:val="•"/>
      <w:lvlJc w:val="left"/>
      <w:pPr>
        <w:tabs>
          <w:tab w:val="num" w:pos="720"/>
        </w:tabs>
        <w:ind w:left="720" w:hanging="360"/>
      </w:pPr>
      <w:rPr>
        <w:rFonts w:ascii="Arial" w:hAnsi="Arial" w:hint="default"/>
      </w:rPr>
    </w:lvl>
    <w:lvl w:ilvl="1" w:tplc="A1106EB6" w:tentative="1">
      <w:start w:val="1"/>
      <w:numFmt w:val="bullet"/>
      <w:lvlText w:val="•"/>
      <w:lvlJc w:val="left"/>
      <w:pPr>
        <w:tabs>
          <w:tab w:val="num" w:pos="1440"/>
        </w:tabs>
        <w:ind w:left="1440" w:hanging="360"/>
      </w:pPr>
      <w:rPr>
        <w:rFonts w:ascii="Arial" w:hAnsi="Arial" w:hint="default"/>
      </w:rPr>
    </w:lvl>
    <w:lvl w:ilvl="2" w:tplc="CE68211C" w:tentative="1">
      <w:start w:val="1"/>
      <w:numFmt w:val="bullet"/>
      <w:lvlText w:val="•"/>
      <w:lvlJc w:val="left"/>
      <w:pPr>
        <w:tabs>
          <w:tab w:val="num" w:pos="2160"/>
        </w:tabs>
        <w:ind w:left="2160" w:hanging="360"/>
      </w:pPr>
      <w:rPr>
        <w:rFonts w:ascii="Arial" w:hAnsi="Arial" w:hint="default"/>
      </w:rPr>
    </w:lvl>
    <w:lvl w:ilvl="3" w:tplc="95AED8CA" w:tentative="1">
      <w:start w:val="1"/>
      <w:numFmt w:val="bullet"/>
      <w:lvlText w:val="•"/>
      <w:lvlJc w:val="left"/>
      <w:pPr>
        <w:tabs>
          <w:tab w:val="num" w:pos="2880"/>
        </w:tabs>
        <w:ind w:left="2880" w:hanging="360"/>
      </w:pPr>
      <w:rPr>
        <w:rFonts w:ascii="Arial" w:hAnsi="Arial" w:hint="default"/>
      </w:rPr>
    </w:lvl>
    <w:lvl w:ilvl="4" w:tplc="5246B1C0" w:tentative="1">
      <w:start w:val="1"/>
      <w:numFmt w:val="bullet"/>
      <w:lvlText w:val="•"/>
      <w:lvlJc w:val="left"/>
      <w:pPr>
        <w:tabs>
          <w:tab w:val="num" w:pos="3600"/>
        </w:tabs>
        <w:ind w:left="3600" w:hanging="360"/>
      </w:pPr>
      <w:rPr>
        <w:rFonts w:ascii="Arial" w:hAnsi="Arial" w:hint="default"/>
      </w:rPr>
    </w:lvl>
    <w:lvl w:ilvl="5" w:tplc="9A5C4F9E" w:tentative="1">
      <w:start w:val="1"/>
      <w:numFmt w:val="bullet"/>
      <w:lvlText w:val="•"/>
      <w:lvlJc w:val="left"/>
      <w:pPr>
        <w:tabs>
          <w:tab w:val="num" w:pos="4320"/>
        </w:tabs>
        <w:ind w:left="4320" w:hanging="360"/>
      </w:pPr>
      <w:rPr>
        <w:rFonts w:ascii="Arial" w:hAnsi="Arial" w:hint="default"/>
      </w:rPr>
    </w:lvl>
    <w:lvl w:ilvl="6" w:tplc="D4CAD1DE" w:tentative="1">
      <w:start w:val="1"/>
      <w:numFmt w:val="bullet"/>
      <w:lvlText w:val="•"/>
      <w:lvlJc w:val="left"/>
      <w:pPr>
        <w:tabs>
          <w:tab w:val="num" w:pos="5040"/>
        </w:tabs>
        <w:ind w:left="5040" w:hanging="360"/>
      </w:pPr>
      <w:rPr>
        <w:rFonts w:ascii="Arial" w:hAnsi="Arial" w:hint="default"/>
      </w:rPr>
    </w:lvl>
    <w:lvl w:ilvl="7" w:tplc="EFD43BE6" w:tentative="1">
      <w:start w:val="1"/>
      <w:numFmt w:val="bullet"/>
      <w:lvlText w:val="•"/>
      <w:lvlJc w:val="left"/>
      <w:pPr>
        <w:tabs>
          <w:tab w:val="num" w:pos="5760"/>
        </w:tabs>
        <w:ind w:left="5760" w:hanging="360"/>
      </w:pPr>
      <w:rPr>
        <w:rFonts w:ascii="Arial" w:hAnsi="Arial" w:hint="default"/>
      </w:rPr>
    </w:lvl>
    <w:lvl w:ilvl="8" w:tplc="604EF8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F7AEA"/>
    <w:multiLevelType w:val="hybridMultilevel"/>
    <w:tmpl w:val="88489BC4"/>
    <w:lvl w:ilvl="0" w:tplc="140ED0AC">
      <w:start w:val="1"/>
      <w:numFmt w:val="bullet"/>
      <w:lvlText w:val="•"/>
      <w:lvlJc w:val="left"/>
      <w:pPr>
        <w:tabs>
          <w:tab w:val="num" w:pos="720"/>
        </w:tabs>
        <w:ind w:left="720" w:hanging="360"/>
      </w:pPr>
      <w:rPr>
        <w:rFonts w:ascii="Arial" w:hAnsi="Arial" w:hint="default"/>
      </w:rPr>
    </w:lvl>
    <w:lvl w:ilvl="1" w:tplc="F1F266E0">
      <w:start w:val="1"/>
      <w:numFmt w:val="bullet"/>
      <w:lvlText w:val="•"/>
      <w:lvlJc w:val="left"/>
      <w:pPr>
        <w:tabs>
          <w:tab w:val="num" w:pos="1440"/>
        </w:tabs>
        <w:ind w:left="1440" w:hanging="360"/>
      </w:pPr>
      <w:rPr>
        <w:rFonts w:ascii="Arial" w:hAnsi="Arial" w:hint="default"/>
      </w:rPr>
    </w:lvl>
    <w:lvl w:ilvl="2" w:tplc="FD3A1D60">
      <w:start w:val="1"/>
      <w:numFmt w:val="bullet"/>
      <w:lvlText w:val="•"/>
      <w:lvlJc w:val="left"/>
      <w:pPr>
        <w:tabs>
          <w:tab w:val="num" w:pos="2160"/>
        </w:tabs>
        <w:ind w:left="2160" w:hanging="360"/>
      </w:pPr>
      <w:rPr>
        <w:rFonts w:ascii="Arial" w:hAnsi="Arial" w:hint="default"/>
      </w:rPr>
    </w:lvl>
    <w:lvl w:ilvl="3" w:tplc="5C6E3BC4" w:tentative="1">
      <w:start w:val="1"/>
      <w:numFmt w:val="bullet"/>
      <w:lvlText w:val="•"/>
      <w:lvlJc w:val="left"/>
      <w:pPr>
        <w:tabs>
          <w:tab w:val="num" w:pos="2880"/>
        </w:tabs>
        <w:ind w:left="2880" w:hanging="360"/>
      </w:pPr>
      <w:rPr>
        <w:rFonts w:ascii="Arial" w:hAnsi="Arial" w:hint="default"/>
      </w:rPr>
    </w:lvl>
    <w:lvl w:ilvl="4" w:tplc="2E5260BC" w:tentative="1">
      <w:start w:val="1"/>
      <w:numFmt w:val="bullet"/>
      <w:lvlText w:val="•"/>
      <w:lvlJc w:val="left"/>
      <w:pPr>
        <w:tabs>
          <w:tab w:val="num" w:pos="3600"/>
        </w:tabs>
        <w:ind w:left="3600" w:hanging="360"/>
      </w:pPr>
      <w:rPr>
        <w:rFonts w:ascii="Arial" w:hAnsi="Arial" w:hint="default"/>
      </w:rPr>
    </w:lvl>
    <w:lvl w:ilvl="5" w:tplc="68760EA6" w:tentative="1">
      <w:start w:val="1"/>
      <w:numFmt w:val="bullet"/>
      <w:lvlText w:val="•"/>
      <w:lvlJc w:val="left"/>
      <w:pPr>
        <w:tabs>
          <w:tab w:val="num" w:pos="4320"/>
        </w:tabs>
        <w:ind w:left="4320" w:hanging="360"/>
      </w:pPr>
      <w:rPr>
        <w:rFonts w:ascii="Arial" w:hAnsi="Arial" w:hint="default"/>
      </w:rPr>
    </w:lvl>
    <w:lvl w:ilvl="6" w:tplc="4882FEA0" w:tentative="1">
      <w:start w:val="1"/>
      <w:numFmt w:val="bullet"/>
      <w:lvlText w:val="•"/>
      <w:lvlJc w:val="left"/>
      <w:pPr>
        <w:tabs>
          <w:tab w:val="num" w:pos="5040"/>
        </w:tabs>
        <w:ind w:left="5040" w:hanging="360"/>
      </w:pPr>
      <w:rPr>
        <w:rFonts w:ascii="Arial" w:hAnsi="Arial" w:hint="default"/>
      </w:rPr>
    </w:lvl>
    <w:lvl w:ilvl="7" w:tplc="CC0A2A66" w:tentative="1">
      <w:start w:val="1"/>
      <w:numFmt w:val="bullet"/>
      <w:lvlText w:val="•"/>
      <w:lvlJc w:val="left"/>
      <w:pPr>
        <w:tabs>
          <w:tab w:val="num" w:pos="5760"/>
        </w:tabs>
        <w:ind w:left="5760" w:hanging="360"/>
      </w:pPr>
      <w:rPr>
        <w:rFonts w:ascii="Arial" w:hAnsi="Arial" w:hint="default"/>
      </w:rPr>
    </w:lvl>
    <w:lvl w:ilvl="8" w:tplc="FD72C9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0468DE"/>
    <w:multiLevelType w:val="hybridMultilevel"/>
    <w:tmpl w:val="02CE1306"/>
    <w:lvl w:ilvl="0" w:tplc="8D6C00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6F72CF"/>
    <w:multiLevelType w:val="hybridMultilevel"/>
    <w:tmpl w:val="8ED6101E"/>
    <w:lvl w:ilvl="0" w:tplc="AB102C32">
      <w:start w:val="1"/>
      <w:numFmt w:val="bullet"/>
      <w:lvlText w:val="•"/>
      <w:lvlJc w:val="left"/>
      <w:pPr>
        <w:tabs>
          <w:tab w:val="num" w:pos="720"/>
        </w:tabs>
        <w:ind w:left="720" w:hanging="360"/>
      </w:pPr>
      <w:rPr>
        <w:rFonts w:ascii="Arial" w:hAnsi="Arial" w:hint="default"/>
      </w:rPr>
    </w:lvl>
    <w:lvl w:ilvl="1" w:tplc="07BE83FE" w:tentative="1">
      <w:start w:val="1"/>
      <w:numFmt w:val="bullet"/>
      <w:lvlText w:val="•"/>
      <w:lvlJc w:val="left"/>
      <w:pPr>
        <w:tabs>
          <w:tab w:val="num" w:pos="1440"/>
        </w:tabs>
        <w:ind w:left="1440" w:hanging="360"/>
      </w:pPr>
      <w:rPr>
        <w:rFonts w:ascii="Arial" w:hAnsi="Arial" w:hint="default"/>
      </w:rPr>
    </w:lvl>
    <w:lvl w:ilvl="2" w:tplc="1F160638" w:tentative="1">
      <w:start w:val="1"/>
      <w:numFmt w:val="bullet"/>
      <w:lvlText w:val="•"/>
      <w:lvlJc w:val="left"/>
      <w:pPr>
        <w:tabs>
          <w:tab w:val="num" w:pos="2160"/>
        </w:tabs>
        <w:ind w:left="2160" w:hanging="360"/>
      </w:pPr>
      <w:rPr>
        <w:rFonts w:ascii="Arial" w:hAnsi="Arial" w:hint="default"/>
      </w:rPr>
    </w:lvl>
    <w:lvl w:ilvl="3" w:tplc="E9227834" w:tentative="1">
      <w:start w:val="1"/>
      <w:numFmt w:val="bullet"/>
      <w:lvlText w:val="•"/>
      <w:lvlJc w:val="left"/>
      <w:pPr>
        <w:tabs>
          <w:tab w:val="num" w:pos="2880"/>
        </w:tabs>
        <w:ind w:left="2880" w:hanging="360"/>
      </w:pPr>
      <w:rPr>
        <w:rFonts w:ascii="Arial" w:hAnsi="Arial" w:hint="default"/>
      </w:rPr>
    </w:lvl>
    <w:lvl w:ilvl="4" w:tplc="073E3A6E" w:tentative="1">
      <w:start w:val="1"/>
      <w:numFmt w:val="bullet"/>
      <w:lvlText w:val="•"/>
      <w:lvlJc w:val="left"/>
      <w:pPr>
        <w:tabs>
          <w:tab w:val="num" w:pos="3600"/>
        </w:tabs>
        <w:ind w:left="3600" w:hanging="360"/>
      </w:pPr>
      <w:rPr>
        <w:rFonts w:ascii="Arial" w:hAnsi="Arial" w:hint="default"/>
      </w:rPr>
    </w:lvl>
    <w:lvl w:ilvl="5" w:tplc="15B06DCA" w:tentative="1">
      <w:start w:val="1"/>
      <w:numFmt w:val="bullet"/>
      <w:lvlText w:val="•"/>
      <w:lvlJc w:val="left"/>
      <w:pPr>
        <w:tabs>
          <w:tab w:val="num" w:pos="4320"/>
        </w:tabs>
        <w:ind w:left="4320" w:hanging="360"/>
      </w:pPr>
      <w:rPr>
        <w:rFonts w:ascii="Arial" w:hAnsi="Arial" w:hint="default"/>
      </w:rPr>
    </w:lvl>
    <w:lvl w:ilvl="6" w:tplc="48D0C5EC" w:tentative="1">
      <w:start w:val="1"/>
      <w:numFmt w:val="bullet"/>
      <w:lvlText w:val="•"/>
      <w:lvlJc w:val="left"/>
      <w:pPr>
        <w:tabs>
          <w:tab w:val="num" w:pos="5040"/>
        </w:tabs>
        <w:ind w:left="5040" w:hanging="360"/>
      </w:pPr>
      <w:rPr>
        <w:rFonts w:ascii="Arial" w:hAnsi="Arial" w:hint="default"/>
      </w:rPr>
    </w:lvl>
    <w:lvl w:ilvl="7" w:tplc="617E7CE0" w:tentative="1">
      <w:start w:val="1"/>
      <w:numFmt w:val="bullet"/>
      <w:lvlText w:val="•"/>
      <w:lvlJc w:val="left"/>
      <w:pPr>
        <w:tabs>
          <w:tab w:val="num" w:pos="5760"/>
        </w:tabs>
        <w:ind w:left="5760" w:hanging="360"/>
      </w:pPr>
      <w:rPr>
        <w:rFonts w:ascii="Arial" w:hAnsi="Arial" w:hint="default"/>
      </w:rPr>
    </w:lvl>
    <w:lvl w:ilvl="8" w:tplc="26BE91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C885C96"/>
    <w:multiLevelType w:val="hybridMultilevel"/>
    <w:tmpl w:val="80024B7A"/>
    <w:lvl w:ilvl="0" w:tplc="D576C5D0">
      <w:start w:val="1"/>
      <w:numFmt w:val="bullet"/>
      <w:lvlText w:val="•"/>
      <w:lvlJc w:val="left"/>
      <w:pPr>
        <w:tabs>
          <w:tab w:val="num" w:pos="720"/>
        </w:tabs>
        <w:ind w:left="720" w:hanging="360"/>
      </w:pPr>
      <w:rPr>
        <w:rFonts w:ascii="Arial" w:hAnsi="Arial" w:hint="default"/>
      </w:rPr>
    </w:lvl>
    <w:lvl w:ilvl="1" w:tplc="6D5A9B9E">
      <w:start w:val="1"/>
      <w:numFmt w:val="bullet"/>
      <w:lvlText w:val="•"/>
      <w:lvlJc w:val="left"/>
      <w:pPr>
        <w:tabs>
          <w:tab w:val="num" w:pos="1440"/>
        </w:tabs>
        <w:ind w:left="1440" w:hanging="360"/>
      </w:pPr>
      <w:rPr>
        <w:rFonts w:ascii="Arial" w:hAnsi="Arial" w:hint="default"/>
      </w:rPr>
    </w:lvl>
    <w:lvl w:ilvl="2" w:tplc="9536BD34">
      <w:start w:val="1"/>
      <w:numFmt w:val="bullet"/>
      <w:lvlText w:val="•"/>
      <w:lvlJc w:val="left"/>
      <w:pPr>
        <w:tabs>
          <w:tab w:val="num" w:pos="2160"/>
        </w:tabs>
        <w:ind w:left="2160" w:hanging="360"/>
      </w:pPr>
      <w:rPr>
        <w:rFonts w:ascii="Arial" w:hAnsi="Arial" w:hint="default"/>
      </w:rPr>
    </w:lvl>
    <w:lvl w:ilvl="3" w:tplc="01F2E350" w:tentative="1">
      <w:start w:val="1"/>
      <w:numFmt w:val="bullet"/>
      <w:lvlText w:val="•"/>
      <w:lvlJc w:val="left"/>
      <w:pPr>
        <w:tabs>
          <w:tab w:val="num" w:pos="2880"/>
        </w:tabs>
        <w:ind w:left="2880" w:hanging="360"/>
      </w:pPr>
      <w:rPr>
        <w:rFonts w:ascii="Arial" w:hAnsi="Arial" w:hint="default"/>
      </w:rPr>
    </w:lvl>
    <w:lvl w:ilvl="4" w:tplc="FD149D66" w:tentative="1">
      <w:start w:val="1"/>
      <w:numFmt w:val="bullet"/>
      <w:lvlText w:val="•"/>
      <w:lvlJc w:val="left"/>
      <w:pPr>
        <w:tabs>
          <w:tab w:val="num" w:pos="3600"/>
        </w:tabs>
        <w:ind w:left="3600" w:hanging="360"/>
      </w:pPr>
      <w:rPr>
        <w:rFonts w:ascii="Arial" w:hAnsi="Arial" w:hint="default"/>
      </w:rPr>
    </w:lvl>
    <w:lvl w:ilvl="5" w:tplc="000294B6" w:tentative="1">
      <w:start w:val="1"/>
      <w:numFmt w:val="bullet"/>
      <w:lvlText w:val="•"/>
      <w:lvlJc w:val="left"/>
      <w:pPr>
        <w:tabs>
          <w:tab w:val="num" w:pos="4320"/>
        </w:tabs>
        <w:ind w:left="4320" w:hanging="360"/>
      </w:pPr>
      <w:rPr>
        <w:rFonts w:ascii="Arial" w:hAnsi="Arial" w:hint="default"/>
      </w:rPr>
    </w:lvl>
    <w:lvl w:ilvl="6" w:tplc="9D88E098" w:tentative="1">
      <w:start w:val="1"/>
      <w:numFmt w:val="bullet"/>
      <w:lvlText w:val="•"/>
      <w:lvlJc w:val="left"/>
      <w:pPr>
        <w:tabs>
          <w:tab w:val="num" w:pos="5040"/>
        </w:tabs>
        <w:ind w:left="5040" w:hanging="360"/>
      </w:pPr>
      <w:rPr>
        <w:rFonts w:ascii="Arial" w:hAnsi="Arial" w:hint="default"/>
      </w:rPr>
    </w:lvl>
    <w:lvl w:ilvl="7" w:tplc="B866A1E8" w:tentative="1">
      <w:start w:val="1"/>
      <w:numFmt w:val="bullet"/>
      <w:lvlText w:val="•"/>
      <w:lvlJc w:val="left"/>
      <w:pPr>
        <w:tabs>
          <w:tab w:val="num" w:pos="5760"/>
        </w:tabs>
        <w:ind w:left="5760" w:hanging="360"/>
      </w:pPr>
      <w:rPr>
        <w:rFonts w:ascii="Arial" w:hAnsi="Arial" w:hint="default"/>
      </w:rPr>
    </w:lvl>
    <w:lvl w:ilvl="8" w:tplc="A978C9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923C2D"/>
    <w:multiLevelType w:val="hybridMultilevel"/>
    <w:tmpl w:val="92A42ECE"/>
    <w:lvl w:ilvl="0" w:tplc="E2B61826">
      <w:start w:val="1"/>
      <w:numFmt w:val="bullet"/>
      <w:lvlText w:val="•"/>
      <w:lvlJc w:val="left"/>
      <w:pPr>
        <w:tabs>
          <w:tab w:val="num" w:pos="1080"/>
        </w:tabs>
        <w:ind w:left="1080" w:hanging="360"/>
      </w:pPr>
      <w:rPr>
        <w:rFonts w:ascii="Arial" w:hAnsi="Arial" w:hint="default"/>
      </w:rPr>
    </w:lvl>
    <w:lvl w:ilvl="1" w:tplc="B2063D5A" w:tentative="1">
      <w:start w:val="1"/>
      <w:numFmt w:val="bullet"/>
      <w:lvlText w:val="•"/>
      <w:lvlJc w:val="left"/>
      <w:pPr>
        <w:tabs>
          <w:tab w:val="num" w:pos="1800"/>
        </w:tabs>
        <w:ind w:left="1800" w:hanging="360"/>
      </w:pPr>
      <w:rPr>
        <w:rFonts w:ascii="Arial" w:hAnsi="Arial" w:hint="default"/>
      </w:rPr>
    </w:lvl>
    <w:lvl w:ilvl="2" w:tplc="1D187488" w:tentative="1">
      <w:start w:val="1"/>
      <w:numFmt w:val="bullet"/>
      <w:lvlText w:val="•"/>
      <w:lvlJc w:val="left"/>
      <w:pPr>
        <w:tabs>
          <w:tab w:val="num" w:pos="2520"/>
        </w:tabs>
        <w:ind w:left="2520" w:hanging="360"/>
      </w:pPr>
      <w:rPr>
        <w:rFonts w:ascii="Arial" w:hAnsi="Arial" w:hint="default"/>
      </w:rPr>
    </w:lvl>
    <w:lvl w:ilvl="3" w:tplc="22EC446C" w:tentative="1">
      <w:start w:val="1"/>
      <w:numFmt w:val="bullet"/>
      <w:lvlText w:val="•"/>
      <w:lvlJc w:val="left"/>
      <w:pPr>
        <w:tabs>
          <w:tab w:val="num" w:pos="3240"/>
        </w:tabs>
        <w:ind w:left="3240" w:hanging="360"/>
      </w:pPr>
      <w:rPr>
        <w:rFonts w:ascii="Arial" w:hAnsi="Arial" w:hint="default"/>
      </w:rPr>
    </w:lvl>
    <w:lvl w:ilvl="4" w:tplc="4C5A929E" w:tentative="1">
      <w:start w:val="1"/>
      <w:numFmt w:val="bullet"/>
      <w:lvlText w:val="•"/>
      <w:lvlJc w:val="left"/>
      <w:pPr>
        <w:tabs>
          <w:tab w:val="num" w:pos="3960"/>
        </w:tabs>
        <w:ind w:left="3960" w:hanging="360"/>
      </w:pPr>
      <w:rPr>
        <w:rFonts w:ascii="Arial" w:hAnsi="Arial" w:hint="default"/>
      </w:rPr>
    </w:lvl>
    <w:lvl w:ilvl="5" w:tplc="40F2F330" w:tentative="1">
      <w:start w:val="1"/>
      <w:numFmt w:val="bullet"/>
      <w:lvlText w:val="•"/>
      <w:lvlJc w:val="left"/>
      <w:pPr>
        <w:tabs>
          <w:tab w:val="num" w:pos="4680"/>
        </w:tabs>
        <w:ind w:left="4680" w:hanging="360"/>
      </w:pPr>
      <w:rPr>
        <w:rFonts w:ascii="Arial" w:hAnsi="Arial" w:hint="default"/>
      </w:rPr>
    </w:lvl>
    <w:lvl w:ilvl="6" w:tplc="1F5EAB52" w:tentative="1">
      <w:start w:val="1"/>
      <w:numFmt w:val="bullet"/>
      <w:lvlText w:val="•"/>
      <w:lvlJc w:val="left"/>
      <w:pPr>
        <w:tabs>
          <w:tab w:val="num" w:pos="5400"/>
        </w:tabs>
        <w:ind w:left="5400" w:hanging="360"/>
      </w:pPr>
      <w:rPr>
        <w:rFonts w:ascii="Arial" w:hAnsi="Arial" w:hint="default"/>
      </w:rPr>
    </w:lvl>
    <w:lvl w:ilvl="7" w:tplc="0ADAA484" w:tentative="1">
      <w:start w:val="1"/>
      <w:numFmt w:val="bullet"/>
      <w:lvlText w:val="•"/>
      <w:lvlJc w:val="left"/>
      <w:pPr>
        <w:tabs>
          <w:tab w:val="num" w:pos="6120"/>
        </w:tabs>
        <w:ind w:left="6120" w:hanging="360"/>
      </w:pPr>
      <w:rPr>
        <w:rFonts w:ascii="Arial" w:hAnsi="Arial" w:hint="default"/>
      </w:rPr>
    </w:lvl>
    <w:lvl w:ilvl="8" w:tplc="C89ED4A0"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75214B72"/>
    <w:multiLevelType w:val="hybridMultilevel"/>
    <w:tmpl w:val="17FED5C6"/>
    <w:lvl w:ilvl="0" w:tplc="A404C7B4">
      <w:start w:val="1"/>
      <w:numFmt w:val="bullet"/>
      <w:lvlText w:val="•"/>
      <w:lvlJc w:val="left"/>
      <w:pPr>
        <w:tabs>
          <w:tab w:val="num" w:pos="720"/>
        </w:tabs>
        <w:ind w:left="720" w:hanging="360"/>
      </w:pPr>
      <w:rPr>
        <w:rFonts w:ascii="Arial" w:hAnsi="Arial" w:hint="default"/>
      </w:rPr>
    </w:lvl>
    <w:lvl w:ilvl="1" w:tplc="CF36C786">
      <w:start w:val="52"/>
      <w:numFmt w:val="bullet"/>
      <w:lvlText w:val="–"/>
      <w:lvlJc w:val="left"/>
      <w:pPr>
        <w:tabs>
          <w:tab w:val="num" w:pos="1440"/>
        </w:tabs>
        <w:ind w:left="1440" w:hanging="360"/>
      </w:pPr>
      <w:rPr>
        <w:rFonts w:ascii="Arial" w:hAnsi="Arial" w:hint="default"/>
      </w:rPr>
    </w:lvl>
    <w:lvl w:ilvl="2" w:tplc="1856F630" w:tentative="1">
      <w:start w:val="1"/>
      <w:numFmt w:val="bullet"/>
      <w:lvlText w:val="•"/>
      <w:lvlJc w:val="left"/>
      <w:pPr>
        <w:tabs>
          <w:tab w:val="num" w:pos="2160"/>
        </w:tabs>
        <w:ind w:left="2160" w:hanging="360"/>
      </w:pPr>
      <w:rPr>
        <w:rFonts w:ascii="Arial" w:hAnsi="Arial" w:hint="default"/>
      </w:rPr>
    </w:lvl>
    <w:lvl w:ilvl="3" w:tplc="4FB8C5A0" w:tentative="1">
      <w:start w:val="1"/>
      <w:numFmt w:val="bullet"/>
      <w:lvlText w:val="•"/>
      <w:lvlJc w:val="left"/>
      <w:pPr>
        <w:tabs>
          <w:tab w:val="num" w:pos="2880"/>
        </w:tabs>
        <w:ind w:left="2880" w:hanging="360"/>
      </w:pPr>
      <w:rPr>
        <w:rFonts w:ascii="Arial" w:hAnsi="Arial" w:hint="default"/>
      </w:rPr>
    </w:lvl>
    <w:lvl w:ilvl="4" w:tplc="198A33E0" w:tentative="1">
      <w:start w:val="1"/>
      <w:numFmt w:val="bullet"/>
      <w:lvlText w:val="•"/>
      <w:lvlJc w:val="left"/>
      <w:pPr>
        <w:tabs>
          <w:tab w:val="num" w:pos="3600"/>
        </w:tabs>
        <w:ind w:left="3600" w:hanging="360"/>
      </w:pPr>
      <w:rPr>
        <w:rFonts w:ascii="Arial" w:hAnsi="Arial" w:hint="default"/>
      </w:rPr>
    </w:lvl>
    <w:lvl w:ilvl="5" w:tplc="6302A654" w:tentative="1">
      <w:start w:val="1"/>
      <w:numFmt w:val="bullet"/>
      <w:lvlText w:val="•"/>
      <w:lvlJc w:val="left"/>
      <w:pPr>
        <w:tabs>
          <w:tab w:val="num" w:pos="4320"/>
        </w:tabs>
        <w:ind w:left="4320" w:hanging="360"/>
      </w:pPr>
      <w:rPr>
        <w:rFonts w:ascii="Arial" w:hAnsi="Arial" w:hint="default"/>
      </w:rPr>
    </w:lvl>
    <w:lvl w:ilvl="6" w:tplc="6CC8B71A" w:tentative="1">
      <w:start w:val="1"/>
      <w:numFmt w:val="bullet"/>
      <w:lvlText w:val="•"/>
      <w:lvlJc w:val="left"/>
      <w:pPr>
        <w:tabs>
          <w:tab w:val="num" w:pos="5040"/>
        </w:tabs>
        <w:ind w:left="5040" w:hanging="360"/>
      </w:pPr>
      <w:rPr>
        <w:rFonts w:ascii="Arial" w:hAnsi="Arial" w:hint="default"/>
      </w:rPr>
    </w:lvl>
    <w:lvl w:ilvl="7" w:tplc="CE5E7CD6" w:tentative="1">
      <w:start w:val="1"/>
      <w:numFmt w:val="bullet"/>
      <w:lvlText w:val="•"/>
      <w:lvlJc w:val="left"/>
      <w:pPr>
        <w:tabs>
          <w:tab w:val="num" w:pos="5760"/>
        </w:tabs>
        <w:ind w:left="5760" w:hanging="360"/>
      </w:pPr>
      <w:rPr>
        <w:rFonts w:ascii="Arial" w:hAnsi="Arial" w:hint="default"/>
      </w:rPr>
    </w:lvl>
    <w:lvl w:ilvl="8" w:tplc="B0EE4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B00B46"/>
    <w:multiLevelType w:val="hybridMultilevel"/>
    <w:tmpl w:val="9A621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84B40"/>
    <w:multiLevelType w:val="hybridMultilevel"/>
    <w:tmpl w:val="D2EC2B90"/>
    <w:lvl w:ilvl="0" w:tplc="4434F5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5"/>
  </w:num>
  <w:num w:numId="5">
    <w:abstractNumId w:val="15"/>
  </w:num>
  <w:num w:numId="6">
    <w:abstractNumId w:val="9"/>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9"/>
    <w:lvlOverride w:ilvl="0">
      <w:startOverride w:val="1"/>
    </w:lvlOverride>
  </w:num>
  <w:num w:numId="12">
    <w:abstractNumId w:val="12"/>
    <w:lvlOverride w:ilvl="0">
      <w:startOverride w:val="1"/>
    </w:lvlOverride>
  </w:num>
  <w:num w:numId="13">
    <w:abstractNumId w:val="9"/>
    <w:lvlOverride w:ilvl="0">
      <w:startOverride w:val="1"/>
    </w:lvlOverride>
  </w:num>
  <w:num w:numId="14">
    <w:abstractNumId w:val="12"/>
    <w:lvlOverride w:ilvl="0">
      <w:startOverride w:val="1"/>
    </w:lvlOverride>
  </w:num>
  <w:num w:numId="15">
    <w:abstractNumId w:val="19"/>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
  </w:num>
  <w:num w:numId="22">
    <w:abstractNumId w:val="3"/>
  </w:num>
  <w:num w:numId="23">
    <w:abstractNumId w:val="18"/>
  </w:num>
  <w:num w:numId="24">
    <w:abstractNumId w:val="11"/>
  </w:num>
  <w:num w:numId="25">
    <w:abstractNumId w:val="7"/>
  </w:num>
  <w:num w:numId="26">
    <w:abstractNumId w:val="16"/>
  </w:num>
  <w:num w:numId="27">
    <w:abstractNumId w:val="0"/>
  </w:num>
  <w:num w:numId="28">
    <w:abstractNumId w:val="17"/>
  </w:num>
  <w:num w:numId="29">
    <w:abstractNumId w:val="12"/>
    <w:lvlOverride w:ilvl="0">
      <w:startOverride w:val="1"/>
    </w:lvlOverride>
  </w:num>
  <w:num w:numId="30">
    <w:abstractNumId w:val="12"/>
    <w:lvlOverride w:ilvl="0">
      <w:startOverride w:val="1"/>
    </w:lvlOverride>
  </w:num>
  <w:num w:numId="31">
    <w:abstractNumId w:val="21"/>
  </w:num>
  <w:num w:numId="32">
    <w:abstractNumId w:val="10"/>
  </w:num>
  <w:num w:numId="33">
    <w:abstractNumId w:val="20"/>
  </w:num>
  <w:num w:numId="34">
    <w:abstractNumId w:val="12"/>
    <w:lvlOverride w:ilvl="0">
      <w:startOverride w:val="1"/>
    </w:lvlOverride>
  </w:num>
  <w:num w:numId="35">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64DF"/>
    <w:rsid w:val="000439D8"/>
    <w:rsid w:val="00056F56"/>
    <w:rsid w:val="0007726B"/>
    <w:rsid w:val="0008612A"/>
    <w:rsid w:val="000B0056"/>
    <w:rsid w:val="000C316A"/>
    <w:rsid w:val="000D4669"/>
    <w:rsid w:val="0014324A"/>
    <w:rsid w:val="00153891"/>
    <w:rsid w:val="001745F8"/>
    <w:rsid w:val="00182BC4"/>
    <w:rsid w:val="001838CF"/>
    <w:rsid w:val="00183D8D"/>
    <w:rsid w:val="0019144C"/>
    <w:rsid w:val="001A3BA4"/>
    <w:rsid w:val="001B0E42"/>
    <w:rsid w:val="001B4252"/>
    <w:rsid w:val="001B5071"/>
    <w:rsid w:val="001B7A0A"/>
    <w:rsid w:val="001C053C"/>
    <w:rsid w:val="001D31A1"/>
    <w:rsid w:val="001E30F6"/>
    <w:rsid w:val="00203AFB"/>
    <w:rsid w:val="00223F42"/>
    <w:rsid w:val="00235F5C"/>
    <w:rsid w:val="002873BE"/>
    <w:rsid w:val="002B4922"/>
    <w:rsid w:val="002C2D19"/>
    <w:rsid w:val="002D10FA"/>
    <w:rsid w:val="002D1346"/>
    <w:rsid w:val="002D2BB5"/>
    <w:rsid w:val="002D3060"/>
    <w:rsid w:val="002D4C55"/>
    <w:rsid w:val="002E41C3"/>
    <w:rsid w:val="002F032A"/>
    <w:rsid w:val="00302C85"/>
    <w:rsid w:val="003534A3"/>
    <w:rsid w:val="00390B10"/>
    <w:rsid w:val="003B659E"/>
    <w:rsid w:val="003F0CD1"/>
    <w:rsid w:val="00407F49"/>
    <w:rsid w:val="00417770"/>
    <w:rsid w:val="00422DF3"/>
    <w:rsid w:val="0042630D"/>
    <w:rsid w:val="0043750A"/>
    <w:rsid w:val="00441279"/>
    <w:rsid w:val="00457402"/>
    <w:rsid w:val="00475939"/>
    <w:rsid w:val="00485736"/>
    <w:rsid w:val="004A3D85"/>
    <w:rsid w:val="004E5E66"/>
    <w:rsid w:val="004F01BC"/>
    <w:rsid w:val="00503B4D"/>
    <w:rsid w:val="00504EE9"/>
    <w:rsid w:val="0054442C"/>
    <w:rsid w:val="00550285"/>
    <w:rsid w:val="005520FC"/>
    <w:rsid w:val="00552BC4"/>
    <w:rsid w:val="005836F8"/>
    <w:rsid w:val="005918FA"/>
    <w:rsid w:val="00596F14"/>
    <w:rsid w:val="005C23A4"/>
    <w:rsid w:val="005D1CDF"/>
    <w:rsid w:val="005E43B2"/>
    <w:rsid w:val="005E61A8"/>
    <w:rsid w:val="005F6419"/>
    <w:rsid w:val="00617400"/>
    <w:rsid w:val="00664950"/>
    <w:rsid w:val="00683220"/>
    <w:rsid w:val="00687FA0"/>
    <w:rsid w:val="0069023E"/>
    <w:rsid w:val="006B7010"/>
    <w:rsid w:val="006F095B"/>
    <w:rsid w:val="006F7651"/>
    <w:rsid w:val="007145FF"/>
    <w:rsid w:val="00746C51"/>
    <w:rsid w:val="00751515"/>
    <w:rsid w:val="00756BF9"/>
    <w:rsid w:val="00757587"/>
    <w:rsid w:val="00785232"/>
    <w:rsid w:val="007A6E80"/>
    <w:rsid w:val="007C3ED0"/>
    <w:rsid w:val="00806A76"/>
    <w:rsid w:val="00811C9D"/>
    <w:rsid w:val="00816C80"/>
    <w:rsid w:val="00840DCC"/>
    <w:rsid w:val="00841BCD"/>
    <w:rsid w:val="00842BE6"/>
    <w:rsid w:val="00851A8E"/>
    <w:rsid w:val="008826C1"/>
    <w:rsid w:val="008B0FB0"/>
    <w:rsid w:val="008B70F3"/>
    <w:rsid w:val="008C49D9"/>
    <w:rsid w:val="008C5732"/>
    <w:rsid w:val="008D1D68"/>
    <w:rsid w:val="008D1FF1"/>
    <w:rsid w:val="008F1DA8"/>
    <w:rsid w:val="0090091A"/>
    <w:rsid w:val="009042BD"/>
    <w:rsid w:val="00923F51"/>
    <w:rsid w:val="00931DF4"/>
    <w:rsid w:val="00942FD3"/>
    <w:rsid w:val="009762C5"/>
    <w:rsid w:val="00977E1D"/>
    <w:rsid w:val="009B0147"/>
    <w:rsid w:val="009D2891"/>
    <w:rsid w:val="009D4897"/>
    <w:rsid w:val="00A22B78"/>
    <w:rsid w:val="00A25682"/>
    <w:rsid w:val="00A25AE5"/>
    <w:rsid w:val="00A37002"/>
    <w:rsid w:val="00A75711"/>
    <w:rsid w:val="00A8290C"/>
    <w:rsid w:val="00AA1B0E"/>
    <w:rsid w:val="00AC5CA7"/>
    <w:rsid w:val="00AE56B1"/>
    <w:rsid w:val="00B017D6"/>
    <w:rsid w:val="00B73862"/>
    <w:rsid w:val="00B971DB"/>
    <w:rsid w:val="00BA6E48"/>
    <w:rsid w:val="00BC170C"/>
    <w:rsid w:val="00BC2C88"/>
    <w:rsid w:val="00BE5F00"/>
    <w:rsid w:val="00BF2218"/>
    <w:rsid w:val="00C413AE"/>
    <w:rsid w:val="00C7316F"/>
    <w:rsid w:val="00C81ED4"/>
    <w:rsid w:val="00C82F2F"/>
    <w:rsid w:val="00CA61E7"/>
    <w:rsid w:val="00CC3B25"/>
    <w:rsid w:val="00CD7492"/>
    <w:rsid w:val="00CE3A6B"/>
    <w:rsid w:val="00CF0F18"/>
    <w:rsid w:val="00D00211"/>
    <w:rsid w:val="00D06309"/>
    <w:rsid w:val="00D13119"/>
    <w:rsid w:val="00D351EA"/>
    <w:rsid w:val="00D36293"/>
    <w:rsid w:val="00D43403"/>
    <w:rsid w:val="00D56A4A"/>
    <w:rsid w:val="00D62E71"/>
    <w:rsid w:val="00D740CA"/>
    <w:rsid w:val="00D85728"/>
    <w:rsid w:val="00DA7695"/>
    <w:rsid w:val="00DC75E9"/>
    <w:rsid w:val="00DD1A8B"/>
    <w:rsid w:val="00DE0F1C"/>
    <w:rsid w:val="00DF2997"/>
    <w:rsid w:val="00E00539"/>
    <w:rsid w:val="00E62CF9"/>
    <w:rsid w:val="00EC7BC3"/>
    <w:rsid w:val="00ED7600"/>
    <w:rsid w:val="00F040E0"/>
    <w:rsid w:val="00F1362C"/>
    <w:rsid w:val="00F2733E"/>
    <w:rsid w:val="00F824F5"/>
    <w:rsid w:val="00FB4585"/>
    <w:rsid w:val="00FC29B9"/>
    <w:rsid w:val="00FC6FD3"/>
    <w:rsid w:val="00FD74C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EBD5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4F01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CA61E7"/>
    <w:pPr>
      <w:spacing w:before="100" w:beforeAutospacing="1" w:after="100" w:afterAutospacing="1" w:line="240" w:lineRule="auto"/>
    </w:pPr>
    <w:rPr>
      <w:rFonts w:eastAsiaTheme="minorEastAsia" w:cs="Times New Roman"/>
      <w:sz w:val="24"/>
      <w:szCs w:val="24"/>
    </w:rPr>
  </w:style>
  <w:style w:type="character" w:customStyle="1" w:styleId="Heading3Char">
    <w:name w:val="Heading 3 Char"/>
    <w:basedOn w:val="DefaultParagraphFont"/>
    <w:link w:val="Heading3"/>
    <w:uiPriority w:val="9"/>
    <w:semiHidden/>
    <w:rsid w:val="004F01B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4F01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1BC"/>
    <w:rPr>
      <w:rFonts w:ascii="Segoe UI" w:hAnsi="Segoe UI" w:cs="Segoe UI"/>
      <w:sz w:val="18"/>
      <w:szCs w:val="18"/>
    </w:rPr>
  </w:style>
  <w:style w:type="character" w:styleId="CommentReference">
    <w:name w:val="annotation reference"/>
    <w:basedOn w:val="DefaultParagraphFont"/>
    <w:uiPriority w:val="99"/>
    <w:semiHidden/>
    <w:unhideWhenUsed/>
    <w:rsid w:val="000D4669"/>
    <w:rPr>
      <w:sz w:val="16"/>
      <w:szCs w:val="16"/>
    </w:rPr>
  </w:style>
  <w:style w:type="paragraph" w:styleId="CommentText">
    <w:name w:val="annotation text"/>
    <w:basedOn w:val="Normal"/>
    <w:link w:val="CommentTextChar"/>
    <w:uiPriority w:val="99"/>
    <w:semiHidden/>
    <w:unhideWhenUsed/>
    <w:rsid w:val="000D4669"/>
    <w:pPr>
      <w:spacing w:line="240" w:lineRule="auto"/>
    </w:pPr>
    <w:rPr>
      <w:szCs w:val="20"/>
    </w:rPr>
  </w:style>
  <w:style w:type="character" w:customStyle="1" w:styleId="CommentTextChar">
    <w:name w:val="Comment Text Char"/>
    <w:basedOn w:val="DefaultParagraphFont"/>
    <w:link w:val="CommentText"/>
    <w:uiPriority w:val="99"/>
    <w:semiHidden/>
    <w:rsid w:val="000D466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D4669"/>
    <w:rPr>
      <w:b/>
      <w:bCs/>
    </w:rPr>
  </w:style>
  <w:style w:type="character" w:customStyle="1" w:styleId="CommentSubjectChar">
    <w:name w:val="Comment Subject Char"/>
    <w:basedOn w:val="CommentTextChar"/>
    <w:link w:val="CommentSubject"/>
    <w:uiPriority w:val="99"/>
    <w:semiHidden/>
    <w:rsid w:val="000D4669"/>
    <w:rPr>
      <w:rFonts w:ascii="Times New Roman" w:hAnsi="Times New Roman"/>
      <w:b/>
      <w:bCs/>
      <w:sz w:val="20"/>
      <w:szCs w:val="20"/>
    </w:rPr>
  </w:style>
  <w:style w:type="paragraph" w:customStyle="1" w:styleId="TAH">
    <w:name w:val="TAH"/>
    <w:basedOn w:val="TAC"/>
    <w:link w:val="TAHCar"/>
    <w:rsid w:val="008D1FF1"/>
    <w:rPr>
      <w:b/>
    </w:rPr>
  </w:style>
  <w:style w:type="paragraph" w:customStyle="1" w:styleId="TAC">
    <w:name w:val="TAC"/>
    <w:basedOn w:val="Normal"/>
    <w:link w:val="TACChar"/>
    <w:qFormat/>
    <w:rsid w:val="008D1FF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8D1FF1"/>
    <w:rPr>
      <w:rFonts w:ascii="Arial" w:eastAsia="SimSun" w:hAnsi="Arial" w:cs="Times New Roman"/>
      <w:sz w:val="18"/>
      <w:szCs w:val="20"/>
      <w:lang w:val="en-GB"/>
    </w:rPr>
  </w:style>
  <w:style w:type="character" w:customStyle="1" w:styleId="TAHCar">
    <w:name w:val="TAH Car"/>
    <w:link w:val="TAH"/>
    <w:qFormat/>
    <w:rsid w:val="008D1FF1"/>
    <w:rPr>
      <w:rFonts w:ascii="Arial" w:eastAsia="SimSun" w:hAnsi="Arial" w:cs="Times New Roman"/>
      <w:b/>
      <w:sz w:val="18"/>
      <w:szCs w:val="20"/>
      <w:lang w:val="en-GB"/>
    </w:rPr>
  </w:style>
  <w:style w:type="paragraph" w:customStyle="1" w:styleId="TH">
    <w:name w:val="TH"/>
    <w:basedOn w:val="Normal"/>
    <w:link w:val="THChar"/>
    <w:qFormat/>
    <w:rsid w:val="008D1FF1"/>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8D1FF1"/>
    <w:rPr>
      <w:rFonts w:ascii="Arial" w:eastAsia="SimSun" w:hAnsi="Arial" w:cs="Times New Roman"/>
      <w:b/>
      <w:sz w:val="20"/>
      <w:szCs w:val="20"/>
      <w:lang w:val="en-GB"/>
    </w:rPr>
  </w:style>
  <w:style w:type="paragraph" w:customStyle="1" w:styleId="TAN">
    <w:name w:val="TAN"/>
    <w:basedOn w:val="Normal"/>
    <w:link w:val="TANChar"/>
    <w:qFormat/>
    <w:rsid w:val="008D1FF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8D1FF1"/>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488536">
      <w:bodyDiv w:val="1"/>
      <w:marLeft w:val="0"/>
      <w:marRight w:val="0"/>
      <w:marTop w:val="0"/>
      <w:marBottom w:val="0"/>
      <w:divBdr>
        <w:top w:val="none" w:sz="0" w:space="0" w:color="auto"/>
        <w:left w:val="none" w:sz="0" w:space="0" w:color="auto"/>
        <w:bottom w:val="none" w:sz="0" w:space="0" w:color="auto"/>
        <w:right w:val="none" w:sz="0" w:space="0" w:color="auto"/>
      </w:divBdr>
      <w:divsChild>
        <w:div w:id="270825435">
          <w:marLeft w:val="547"/>
          <w:marRight w:val="0"/>
          <w:marTop w:val="134"/>
          <w:marBottom w:val="0"/>
          <w:divBdr>
            <w:top w:val="none" w:sz="0" w:space="0" w:color="auto"/>
            <w:left w:val="none" w:sz="0" w:space="0" w:color="auto"/>
            <w:bottom w:val="none" w:sz="0" w:space="0" w:color="auto"/>
            <w:right w:val="none" w:sz="0" w:space="0" w:color="auto"/>
          </w:divBdr>
        </w:div>
        <w:div w:id="1118139608">
          <w:marLeft w:val="1166"/>
          <w:marRight w:val="0"/>
          <w:marTop w:val="115"/>
          <w:marBottom w:val="0"/>
          <w:divBdr>
            <w:top w:val="none" w:sz="0" w:space="0" w:color="auto"/>
            <w:left w:val="none" w:sz="0" w:space="0" w:color="auto"/>
            <w:bottom w:val="none" w:sz="0" w:space="0" w:color="auto"/>
            <w:right w:val="none" w:sz="0" w:space="0" w:color="auto"/>
          </w:divBdr>
        </w:div>
        <w:div w:id="1551382532">
          <w:marLeft w:val="547"/>
          <w:marRight w:val="0"/>
          <w:marTop w:val="134"/>
          <w:marBottom w:val="0"/>
          <w:divBdr>
            <w:top w:val="none" w:sz="0" w:space="0" w:color="auto"/>
            <w:left w:val="none" w:sz="0" w:space="0" w:color="auto"/>
            <w:bottom w:val="none" w:sz="0" w:space="0" w:color="auto"/>
            <w:right w:val="none" w:sz="0" w:space="0" w:color="auto"/>
          </w:divBdr>
        </w:div>
        <w:div w:id="522547929">
          <w:marLeft w:val="1166"/>
          <w:marRight w:val="0"/>
          <w:marTop w:val="115"/>
          <w:marBottom w:val="0"/>
          <w:divBdr>
            <w:top w:val="none" w:sz="0" w:space="0" w:color="auto"/>
            <w:left w:val="none" w:sz="0" w:space="0" w:color="auto"/>
            <w:bottom w:val="none" w:sz="0" w:space="0" w:color="auto"/>
            <w:right w:val="none" w:sz="0" w:space="0" w:color="auto"/>
          </w:divBdr>
        </w:div>
        <w:div w:id="1579974363">
          <w:marLeft w:val="1166"/>
          <w:marRight w:val="0"/>
          <w:marTop w:val="115"/>
          <w:marBottom w:val="0"/>
          <w:divBdr>
            <w:top w:val="none" w:sz="0" w:space="0" w:color="auto"/>
            <w:left w:val="none" w:sz="0" w:space="0" w:color="auto"/>
            <w:bottom w:val="none" w:sz="0" w:space="0" w:color="auto"/>
            <w:right w:val="none" w:sz="0" w:space="0" w:color="auto"/>
          </w:divBdr>
        </w:div>
      </w:divsChild>
    </w:div>
    <w:div w:id="1383215086">
      <w:bodyDiv w:val="1"/>
      <w:marLeft w:val="0"/>
      <w:marRight w:val="0"/>
      <w:marTop w:val="0"/>
      <w:marBottom w:val="0"/>
      <w:divBdr>
        <w:top w:val="none" w:sz="0" w:space="0" w:color="auto"/>
        <w:left w:val="none" w:sz="0" w:space="0" w:color="auto"/>
        <w:bottom w:val="none" w:sz="0" w:space="0" w:color="auto"/>
        <w:right w:val="none" w:sz="0" w:space="0" w:color="auto"/>
      </w:divBdr>
    </w:div>
    <w:div w:id="1472095100">
      <w:bodyDiv w:val="1"/>
      <w:marLeft w:val="0"/>
      <w:marRight w:val="0"/>
      <w:marTop w:val="0"/>
      <w:marBottom w:val="0"/>
      <w:divBdr>
        <w:top w:val="none" w:sz="0" w:space="0" w:color="auto"/>
        <w:left w:val="none" w:sz="0" w:space="0" w:color="auto"/>
        <w:bottom w:val="none" w:sz="0" w:space="0" w:color="auto"/>
        <w:right w:val="none" w:sz="0" w:space="0" w:color="auto"/>
      </w:divBdr>
      <w:divsChild>
        <w:div w:id="374701842">
          <w:marLeft w:val="547"/>
          <w:marRight w:val="0"/>
          <w:marTop w:val="96"/>
          <w:marBottom w:val="0"/>
          <w:divBdr>
            <w:top w:val="none" w:sz="0" w:space="0" w:color="auto"/>
            <w:left w:val="none" w:sz="0" w:space="0" w:color="auto"/>
            <w:bottom w:val="none" w:sz="0" w:space="0" w:color="auto"/>
            <w:right w:val="none" w:sz="0" w:space="0" w:color="auto"/>
          </w:divBdr>
        </w:div>
        <w:div w:id="1421826610">
          <w:marLeft w:val="547"/>
          <w:marRight w:val="0"/>
          <w:marTop w:val="96"/>
          <w:marBottom w:val="0"/>
          <w:divBdr>
            <w:top w:val="none" w:sz="0" w:space="0" w:color="auto"/>
            <w:left w:val="none" w:sz="0" w:space="0" w:color="auto"/>
            <w:bottom w:val="none" w:sz="0" w:space="0" w:color="auto"/>
            <w:right w:val="none" w:sz="0" w:space="0" w:color="auto"/>
          </w:divBdr>
        </w:div>
        <w:div w:id="1056661624">
          <w:marLeft w:val="1166"/>
          <w:marRight w:val="0"/>
          <w:marTop w:val="77"/>
          <w:marBottom w:val="0"/>
          <w:divBdr>
            <w:top w:val="none" w:sz="0" w:space="0" w:color="auto"/>
            <w:left w:val="none" w:sz="0" w:space="0" w:color="auto"/>
            <w:bottom w:val="none" w:sz="0" w:space="0" w:color="auto"/>
            <w:right w:val="none" w:sz="0" w:space="0" w:color="auto"/>
          </w:divBdr>
        </w:div>
        <w:div w:id="791443752">
          <w:marLeft w:val="1166"/>
          <w:marRight w:val="0"/>
          <w:marTop w:val="77"/>
          <w:marBottom w:val="0"/>
          <w:divBdr>
            <w:top w:val="none" w:sz="0" w:space="0" w:color="auto"/>
            <w:left w:val="none" w:sz="0" w:space="0" w:color="auto"/>
            <w:bottom w:val="none" w:sz="0" w:space="0" w:color="auto"/>
            <w:right w:val="none" w:sz="0" w:space="0" w:color="auto"/>
          </w:divBdr>
        </w:div>
        <w:div w:id="492259972">
          <w:marLeft w:val="547"/>
          <w:marRight w:val="0"/>
          <w:marTop w:val="86"/>
          <w:marBottom w:val="0"/>
          <w:divBdr>
            <w:top w:val="none" w:sz="0" w:space="0" w:color="auto"/>
            <w:left w:val="none" w:sz="0" w:space="0" w:color="auto"/>
            <w:bottom w:val="none" w:sz="0" w:space="0" w:color="auto"/>
            <w:right w:val="none" w:sz="0" w:space="0" w:color="auto"/>
          </w:divBdr>
        </w:div>
      </w:divsChild>
    </w:div>
    <w:div w:id="1571231500">
      <w:bodyDiv w:val="1"/>
      <w:marLeft w:val="0"/>
      <w:marRight w:val="0"/>
      <w:marTop w:val="0"/>
      <w:marBottom w:val="0"/>
      <w:divBdr>
        <w:top w:val="none" w:sz="0" w:space="0" w:color="auto"/>
        <w:left w:val="none" w:sz="0" w:space="0" w:color="auto"/>
        <w:bottom w:val="none" w:sz="0" w:space="0" w:color="auto"/>
        <w:right w:val="none" w:sz="0" w:space="0" w:color="auto"/>
      </w:divBdr>
    </w:div>
    <w:div w:id="1874923287">
      <w:bodyDiv w:val="1"/>
      <w:marLeft w:val="0"/>
      <w:marRight w:val="0"/>
      <w:marTop w:val="0"/>
      <w:marBottom w:val="0"/>
      <w:divBdr>
        <w:top w:val="none" w:sz="0" w:space="0" w:color="auto"/>
        <w:left w:val="none" w:sz="0" w:space="0" w:color="auto"/>
        <w:bottom w:val="none" w:sz="0" w:space="0" w:color="auto"/>
        <w:right w:val="none" w:sz="0" w:space="0" w:color="auto"/>
      </w:divBdr>
      <w:divsChild>
        <w:div w:id="735321885">
          <w:marLeft w:val="547"/>
          <w:marRight w:val="0"/>
          <w:marTop w:val="86"/>
          <w:marBottom w:val="0"/>
          <w:divBdr>
            <w:top w:val="none" w:sz="0" w:space="0" w:color="auto"/>
            <w:left w:val="none" w:sz="0" w:space="0" w:color="auto"/>
            <w:bottom w:val="none" w:sz="0" w:space="0" w:color="auto"/>
            <w:right w:val="none" w:sz="0" w:space="0" w:color="auto"/>
          </w:divBdr>
        </w:div>
        <w:div w:id="650912313">
          <w:marLeft w:val="547"/>
          <w:marRight w:val="0"/>
          <w:marTop w:val="86"/>
          <w:marBottom w:val="0"/>
          <w:divBdr>
            <w:top w:val="none" w:sz="0" w:space="0" w:color="auto"/>
            <w:left w:val="none" w:sz="0" w:space="0" w:color="auto"/>
            <w:bottom w:val="none" w:sz="0" w:space="0" w:color="auto"/>
            <w:right w:val="none" w:sz="0" w:space="0" w:color="auto"/>
          </w:divBdr>
        </w:div>
      </w:divsChild>
    </w:div>
    <w:div w:id="2124154941">
      <w:bodyDiv w:val="1"/>
      <w:marLeft w:val="0"/>
      <w:marRight w:val="0"/>
      <w:marTop w:val="0"/>
      <w:marBottom w:val="0"/>
      <w:divBdr>
        <w:top w:val="none" w:sz="0" w:space="0" w:color="auto"/>
        <w:left w:val="none" w:sz="0" w:space="0" w:color="auto"/>
        <w:bottom w:val="none" w:sz="0" w:space="0" w:color="auto"/>
        <w:right w:val="none" w:sz="0" w:space="0" w:color="auto"/>
      </w:divBdr>
      <w:divsChild>
        <w:div w:id="1806000162">
          <w:marLeft w:val="547"/>
          <w:marRight w:val="0"/>
          <w:marTop w:val="144"/>
          <w:marBottom w:val="0"/>
          <w:divBdr>
            <w:top w:val="none" w:sz="0" w:space="0" w:color="auto"/>
            <w:left w:val="none" w:sz="0" w:space="0" w:color="auto"/>
            <w:bottom w:val="none" w:sz="0" w:space="0" w:color="auto"/>
            <w:right w:val="none" w:sz="0" w:space="0" w:color="auto"/>
          </w:divBdr>
        </w:div>
        <w:div w:id="1813711669">
          <w:marLeft w:val="1714"/>
          <w:marRight w:val="0"/>
          <w:marTop w:val="106"/>
          <w:marBottom w:val="0"/>
          <w:divBdr>
            <w:top w:val="none" w:sz="0" w:space="0" w:color="auto"/>
            <w:left w:val="none" w:sz="0" w:space="0" w:color="auto"/>
            <w:bottom w:val="none" w:sz="0" w:space="0" w:color="auto"/>
            <w:right w:val="none" w:sz="0" w:space="0" w:color="auto"/>
          </w:divBdr>
        </w:div>
        <w:div w:id="1449931509">
          <w:marLeft w:val="1714"/>
          <w:marRight w:val="0"/>
          <w:marTop w:val="106"/>
          <w:marBottom w:val="0"/>
          <w:divBdr>
            <w:top w:val="none" w:sz="0" w:space="0" w:color="auto"/>
            <w:left w:val="none" w:sz="0" w:space="0" w:color="auto"/>
            <w:bottom w:val="none" w:sz="0" w:space="0" w:color="auto"/>
            <w:right w:val="none" w:sz="0" w:space="0" w:color="auto"/>
          </w:divBdr>
        </w:div>
        <w:div w:id="365714225">
          <w:marLeft w:val="547"/>
          <w:marRight w:val="0"/>
          <w:marTop w:val="144"/>
          <w:marBottom w:val="0"/>
          <w:divBdr>
            <w:top w:val="none" w:sz="0" w:space="0" w:color="auto"/>
            <w:left w:val="none" w:sz="0" w:space="0" w:color="auto"/>
            <w:bottom w:val="none" w:sz="0" w:space="0" w:color="auto"/>
            <w:right w:val="none" w:sz="0" w:space="0" w:color="auto"/>
          </w:divBdr>
        </w:div>
      </w:divsChild>
    </w:div>
    <w:div w:id="214423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FA8D3-FDD2-4493-8B20-79726DBF5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12</cp:revision>
  <dcterms:created xsi:type="dcterms:W3CDTF">2019-04-18T07:30:00Z</dcterms:created>
  <dcterms:modified xsi:type="dcterms:W3CDTF">2019-05-03T15:15:00Z</dcterms:modified>
</cp:coreProperties>
</file>